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2EA8C" w14:textId="3F303F50" w:rsidR="00C030A3" w:rsidRDefault="00AC43B0" w:rsidP="006763F6">
      <w:pPr>
        <w:pStyle w:val="Judul"/>
        <w:jc w:val="both"/>
        <w:rPr>
          <w:rFonts w:ascii="Book Antiqua" w:hAnsi="Book Antiqua" w:cstheme="majorBidi"/>
          <w:sz w:val="32"/>
          <w:szCs w:val="32"/>
          <w:lang w:val="en-US"/>
        </w:rPr>
      </w:pPr>
      <w:r w:rsidRPr="00AC43B0">
        <w:rPr>
          <w:rFonts w:ascii="Book Antiqua" w:hAnsi="Book Antiqua" w:cstheme="majorBidi"/>
          <w:sz w:val="32"/>
          <w:szCs w:val="32"/>
        </w:rPr>
        <w:t xml:space="preserve">Relasi Etis Pendidik dan Peserta Didik dalam Kitab </w:t>
      </w:r>
      <w:proofErr w:type="spellStart"/>
      <w:r w:rsidRPr="00AC43B0">
        <w:rPr>
          <w:rFonts w:ascii="Book Antiqua" w:hAnsi="Book Antiqua" w:cstheme="majorBidi"/>
          <w:i/>
          <w:iCs/>
          <w:sz w:val="32"/>
          <w:szCs w:val="32"/>
        </w:rPr>
        <w:t>Ayyuhal</w:t>
      </w:r>
      <w:proofErr w:type="spellEnd"/>
      <w:r w:rsidRPr="00AC43B0">
        <w:rPr>
          <w:rFonts w:ascii="Book Antiqua" w:hAnsi="Book Antiqua" w:cstheme="majorBidi"/>
          <w:i/>
          <w:iCs/>
          <w:sz w:val="32"/>
          <w:szCs w:val="32"/>
        </w:rPr>
        <w:t xml:space="preserve"> Walad</w:t>
      </w:r>
      <w:r w:rsidRPr="00AC43B0">
        <w:rPr>
          <w:rFonts w:ascii="Book Antiqua" w:hAnsi="Book Antiqua" w:cstheme="majorBidi"/>
          <w:sz w:val="32"/>
          <w:szCs w:val="32"/>
        </w:rPr>
        <w:t>: Relevansi Pemikiran Al-Ghazali bagi Pendidikan Karakter di Indonesia</w:t>
      </w:r>
    </w:p>
    <w:p w14:paraId="3B9644FA" w14:textId="77777777" w:rsidR="00C76503" w:rsidRPr="0044575F" w:rsidRDefault="00C76503" w:rsidP="006763F6">
      <w:pPr>
        <w:pStyle w:val="Judul"/>
        <w:jc w:val="both"/>
        <w:rPr>
          <w:rFonts w:ascii="Book Antiqua" w:hAnsi="Book Antiqua" w:cstheme="majorBidi"/>
          <w:sz w:val="20"/>
          <w:szCs w:val="32"/>
          <w:lang w:val="en-US"/>
        </w:rPr>
      </w:pPr>
    </w:p>
    <w:p w14:paraId="459A726C" w14:textId="0BAA455E" w:rsidR="00C76503" w:rsidRDefault="00A552D1" w:rsidP="00C76503">
      <w:pPr>
        <w:pStyle w:val="Alishlah13authornames"/>
        <w:spacing w:after="0"/>
        <w:rPr>
          <w:rFonts w:ascii="Book Antiqua" w:hAnsi="Book Antiqua"/>
          <w:sz w:val="22"/>
          <w:vertAlign w:val="superscript"/>
        </w:rPr>
      </w:pPr>
      <w:r w:rsidRPr="00A552D1">
        <w:rPr>
          <w:rFonts w:ascii="Book Antiqua" w:hAnsi="Book Antiqua"/>
          <w:sz w:val="22"/>
        </w:rPr>
        <w:t>Siti Zainab</w:t>
      </w:r>
      <w:r w:rsidR="00C76503" w:rsidRPr="00C76503">
        <w:rPr>
          <w:rFonts w:ascii="Book Antiqua" w:hAnsi="Book Antiqua"/>
          <w:sz w:val="22"/>
          <w:vertAlign w:val="superscript"/>
        </w:rPr>
        <w:t>1</w:t>
      </w:r>
      <w:r w:rsidR="00C76503" w:rsidRPr="00C76503">
        <w:rPr>
          <w:rFonts w:ascii="Book Antiqua" w:hAnsi="Book Antiqua"/>
          <w:sz w:val="22"/>
        </w:rPr>
        <w:t xml:space="preserve">, </w:t>
      </w:r>
      <w:r w:rsidRPr="00A552D1">
        <w:rPr>
          <w:rFonts w:ascii="Book Antiqua" w:hAnsi="Book Antiqua"/>
          <w:sz w:val="22"/>
        </w:rPr>
        <w:t>Hairul Hudaya</w:t>
      </w:r>
      <w:r w:rsidR="00C76503" w:rsidRPr="00C76503">
        <w:rPr>
          <w:rFonts w:ascii="Book Antiqua" w:hAnsi="Book Antiqua"/>
          <w:sz w:val="22"/>
          <w:vertAlign w:val="superscript"/>
        </w:rPr>
        <w:t>2</w:t>
      </w:r>
    </w:p>
    <w:p w14:paraId="512472FF" w14:textId="77777777" w:rsidR="00C76503" w:rsidRPr="007648A4" w:rsidRDefault="00C76503" w:rsidP="00C76503">
      <w:pPr>
        <w:rPr>
          <w:sz w:val="16"/>
          <w:lang w:eastAsia="de-DE" w:bidi="en-US"/>
        </w:rPr>
      </w:pPr>
    </w:p>
    <w:p w14:paraId="43480D1D" w14:textId="32CADF7A" w:rsidR="00C76503" w:rsidRDefault="00C76503" w:rsidP="00C76503">
      <w:pPr>
        <w:pStyle w:val="Alishlah16affiliation"/>
      </w:pPr>
      <w:r>
        <w:rPr>
          <w:vertAlign w:val="superscript"/>
        </w:rPr>
        <w:t>1</w:t>
      </w:r>
      <w:r>
        <w:tab/>
      </w:r>
      <w:r w:rsidR="00A552D1" w:rsidRPr="00A552D1">
        <w:t xml:space="preserve">Universitas Islam Negeri </w:t>
      </w:r>
      <w:proofErr w:type="spellStart"/>
      <w:r w:rsidR="00A552D1" w:rsidRPr="00A552D1">
        <w:t>Antasari</w:t>
      </w:r>
      <w:proofErr w:type="spellEnd"/>
      <w:r w:rsidR="00A552D1" w:rsidRPr="00A552D1">
        <w:t>, Banjarmasin, Indonesia</w:t>
      </w:r>
      <w:r>
        <w:t xml:space="preserve">; </w:t>
      </w:r>
      <w:hyperlink r:id="rId8" w:history="1">
        <w:r w:rsidR="00A552D1" w:rsidRPr="002175A5">
          <w:rPr>
            <w:rStyle w:val="Hyperlink"/>
          </w:rPr>
          <w:t>Sitizainab4598@gmail.com</w:t>
        </w:r>
      </w:hyperlink>
      <w:r w:rsidR="00A552D1">
        <w:t xml:space="preserve"> </w:t>
      </w:r>
    </w:p>
    <w:p w14:paraId="3E2BF9B0" w14:textId="6947FE3D" w:rsidR="00C76503" w:rsidRDefault="00C76503" w:rsidP="00C76503">
      <w:pPr>
        <w:pStyle w:val="Alishlah16affiliation"/>
      </w:pPr>
      <w:r>
        <w:rPr>
          <w:vertAlign w:val="superscript"/>
        </w:rPr>
        <w:t>2</w:t>
      </w:r>
      <w:r>
        <w:tab/>
      </w:r>
      <w:r w:rsidR="00A552D1" w:rsidRPr="00A552D1">
        <w:t xml:space="preserve">Universitas Islam Negeri </w:t>
      </w:r>
      <w:proofErr w:type="spellStart"/>
      <w:r w:rsidR="00A552D1" w:rsidRPr="00A552D1">
        <w:t>Antasari</w:t>
      </w:r>
      <w:proofErr w:type="spellEnd"/>
      <w:r w:rsidR="00A552D1" w:rsidRPr="00A552D1">
        <w:t>, Banjarmasin, Indonesia</w:t>
      </w:r>
      <w:r>
        <w:t xml:space="preserve">; </w:t>
      </w:r>
      <w:hyperlink r:id="rId9" w:history="1">
        <w:r w:rsidR="00A552D1" w:rsidRPr="002175A5">
          <w:rPr>
            <w:rStyle w:val="Hyperlink"/>
          </w:rPr>
          <w:t>hairulhudaya05@gmail.com</w:t>
        </w:r>
      </w:hyperlink>
      <w:r w:rsidR="00A552D1">
        <w:t xml:space="preserve"> </w:t>
      </w:r>
    </w:p>
    <w:p w14:paraId="6127998A" w14:textId="26FC03B2" w:rsidR="00C030A3" w:rsidRPr="00E011BC" w:rsidRDefault="00C030A3" w:rsidP="00A552D1">
      <w:pPr>
        <w:pStyle w:val="Alishlah16affiliation"/>
        <w:rPr>
          <w:rFonts w:ascii="Book Antiqua" w:eastAsia="Book Antiqua" w:hAnsi="Book Antiqua" w:cs="Book Antiqua"/>
          <w:b/>
          <w:i/>
          <w:sz w:val="22"/>
          <w:szCs w:val="22"/>
          <w:vertAlign w:val="superscript"/>
          <w:lang w:val="id-ID"/>
        </w:rPr>
      </w:pPr>
    </w:p>
    <w:tbl>
      <w:tblPr>
        <w:tblW w:w="861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269"/>
        <w:gridCol w:w="48"/>
        <w:gridCol w:w="6345"/>
      </w:tblGrid>
      <w:tr w:rsidR="00C030A3" w:rsidRPr="00127059" w14:paraId="04374052" w14:textId="77777777" w:rsidTr="00011B61"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3A3EEA" w14:textId="77777777" w:rsidR="00C030A3" w:rsidRPr="00127059" w:rsidRDefault="00C030A3" w:rsidP="00011B61">
            <w:pPr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08C738C" w14:textId="77777777" w:rsidR="00C030A3" w:rsidRPr="00127059" w:rsidRDefault="00C030A3" w:rsidP="00011B61">
            <w:pPr>
              <w:jc w:val="center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63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3981D9" w14:textId="77777777" w:rsidR="00C030A3" w:rsidRPr="00127059" w:rsidRDefault="00C030A3" w:rsidP="00011B61">
            <w:pPr>
              <w:rPr>
                <w:rFonts w:ascii="Book Antiqua" w:eastAsia="Book Antiqua" w:hAnsi="Book Antiqua" w:cs="Book Antiqua"/>
                <w:sz w:val="18"/>
                <w:szCs w:val="18"/>
              </w:rPr>
            </w:pPr>
            <w:r w:rsidRPr="00127059"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  <w:t xml:space="preserve">Abstract </w:t>
            </w:r>
          </w:p>
        </w:tc>
      </w:tr>
      <w:tr w:rsidR="00C030A3" w:rsidRPr="00127059" w14:paraId="1CF04150" w14:textId="77777777" w:rsidTr="00011B61"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AB3F23" w14:textId="77777777" w:rsidR="00C030A3" w:rsidRPr="00B47983" w:rsidRDefault="00C030A3" w:rsidP="00011B61">
            <w:pPr>
              <w:jc w:val="both"/>
              <w:rPr>
                <w:rFonts w:ascii="Book Antiqua" w:eastAsia="Book Antiqua" w:hAnsi="Book Antiqua" w:cs="Book Antiqua"/>
                <w:b/>
                <w:iCs/>
                <w:sz w:val="18"/>
                <w:szCs w:val="18"/>
              </w:rPr>
            </w:pPr>
            <w:r w:rsidRPr="00B47983">
              <w:rPr>
                <w:rFonts w:ascii="Book Antiqua" w:eastAsia="Book Antiqua" w:hAnsi="Book Antiqua" w:cs="Book Antiqua"/>
                <w:b/>
                <w:iCs/>
                <w:sz w:val="18"/>
                <w:szCs w:val="18"/>
              </w:rPr>
              <w:t>Keywords:</w:t>
            </w:r>
          </w:p>
          <w:p w14:paraId="17FCCE72" w14:textId="18874400" w:rsidR="00AF4BBC" w:rsidRPr="00127059" w:rsidRDefault="00A552D1" w:rsidP="0079772D">
            <w:pPr>
              <w:jc w:val="both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  <w:r w:rsidRPr="00A552D1">
              <w:rPr>
                <w:rFonts w:ascii="Book Antiqua" w:hAnsi="Book Antiqua" w:cstheme="majorBidi"/>
                <w:bCs/>
                <w:sz w:val="18"/>
                <w:szCs w:val="18"/>
              </w:rPr>
              <w:t xml:space="preserve">Ethical Relationship; Character Education; </w:t>
            </w:r>
            <w:proofErr w:type="spellStart"/>
            <w:r w:rsidRPr="00A552D1">
              <w:rPr>
                <w:rFonts w:ascii="Book Antiqua" w:hAnsi="Book Antiqua" w:cstheme="majorBidi"/>
                <w:bCs/>
                <w:sz w:val="18"/>
                <w:szCs w:val="18"/>
              </w:rPr>
              <w:t>Ayyuhal</w:t>
            </w:r>
            <w:proofErr w:type="spellEnd"/>
            <w:r w:rsidRPr="00A552D1">
              <w:rPr>
                <w:rFonts w:ascii="Book Antiqua" w:hAnsi="Book Antiqua" w:cstheme="majorBidi"/>
                <w:bCs/>
                <w:sz w:val="18"/>
                <w:szCs w:val="18"/>
              </w:rPr>
              <w:t xml:space="preserve"> Walad; Al-Ghazali; Thematic Content Analysis; Islamic Pedagogy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58889DEA" w14:textId="77777777" w:rsidR="00C030A3" w:rsidRPr="00127059" w:rsidRDefault="00C030A3" w:rsidP="00011B61">
            <w:pPr>
              <w:jc w:val="both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6393" w:type="dxa"/>
            <w:gridSpan w:val="2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0C1F042F" w14:textId="0840C4C5" w:rsidR="00C030A3" w:rsidRPr="00127059" w:rsidRDefault="00863598" w:rsidP="00F47B8F">
            <w:pPr>
              <w:jc w:val="both"/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</w:pPr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 xml:space="preserve">This study analyzes the ethical relationship between educators and learners in </w:t>
            </w:r>
            <w:proofErr w:type="spellStart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>Ayyuhal</w:t>
            </w:r>
            <w:proofErr w:type="spellEnd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 xml:space="preserve"> Walad by Imam Al-Ghazali and examines its relevance to character education in Indonesia. Contemporary educational practice tends to prioritize cognitive outcomes while neglecting ethical and relational dimensions in learning. A qualitative library research design was employed, applying thematic content analysis through the six-phase procedure of Braun and Clarke (2022). All twelve principal exhortations (</w:t>
            </w:r>
            <w:proofErr w:type="spellStart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>mawa'izh</w:t>
            </w:r>
            <w:proofErr w:type="spellEnd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 xml:space="preserve">) of </w:t>
            </w:r>
            <w:proofErr w:type="spellStart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>Ayyuhal</w:t>
            </w:r>
            <w:proofErr w:type="spellEnd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 xml:space="preserve"> Walad served as the analytical corpus, yielding 27 initial codes consolidated into three core themes. The findings reveal that Al-Ghazali's ethical educator–learner relationship rests on three integrated pillars: exemplarity (</w:t>
            </w:r>
            <w:proofErr w:type="spellStart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>qudwah</w:t>
            </w:r>
            <w:proofErr w:type="spellEnd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>), requiring educators to embody the knowledge they transmit; sincere intention (</w:t>
            </w:r>
            <w:proofErr w:type="spellStart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>niyyah</w:t>
            </w:r>
            <w:proofErr w:type="spellEnd"/>
            <w:r w:rsidRPr="00863598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>), orienting learning toward moral rather than instrumental ends; and ethical conduct (adab) governing relational behavior in pedagogical interactions. These pillars mutually presuppose one another, forming a transformative pedagogical relationship directed at learners' moral development. The study demonstrates that Al-Ghazali's framework aligns with contemporary findings on teacher–student relationships, value-based motivation, and character education. This study contributes by systematically operationalizing Al-Ghazali's classical thought, showing that his ethical framework is not merely normative but concretely applicable to contemporary character education in Indonesia.</w:t>
            </w:r>
          </w:p>
        </w:tc>
      </w:tr>
      <w:tr w:rsidR="00C030A3" w:rsidRPr="00127059" w14:paraId="4EAA0A81" w14:textId="77777777" w:rsidTr="00011B61">
        <w:tc>
          <w:tcPr>
            <w:tcW w:w="19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806636B" w14:textId="77777777" w:rsidR="00C030A3" w:rsidRPr="00127059" w:rsidRDefault="00C030A3" w:rsidP="00011B61">
            <w:pPr>
              <w:jc w:val="both"/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3820D30B" w14:textId="77777777" w:rsidR="00C030A3" w:rsidRPr="00127059" w:rsidRDefault="00C030A3" w:rsidP="00011B61">
            <w:pPr>
              <w:jc w:val="both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6393" w:type="dxa"/>
            <w:gridSpan w:val="2"/>
            <w:vMerge/>
            <w:tcBorders>
              <w:top w:val="single" w:sz="4" w:space="0" w:color="000000"/>
              <w:left w:val="nil"/>
              <w:right w:val="nil"/>
            </w:tcBorders>
          </w:tcPr>
          <w:p w14:paraId="5E4D184C" w14:textId="77777777" w:rsidR="00C030A3" w:rsidRPr="00127059" w:rsidRDefault="00C030A3" w:rsidP="00011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</w:tr>
      <w:tr w:rsidR="00C030A3" w:rsidRPr="00127059" w14:paraId="5CEDC8E8" w14:textId="77777777" w:rsidTr="00011B61"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61CA1B" w14:textId="77777777" w:rsidR="00C030A3" w:rsidRPr="00127059" w:rsidRDefault="00C030A3" w:rsidP="00011B61">
            <w:pPr>
              <w:jc w:val="center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936671" w14:textId="77777777" w:rsidR="00C030A3" w:rsidRPr="00127059" w:rsidRDefault="00C030A3" w:rsidP="00011B61">
            <w:pPr>
              <w:jc w:val="center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634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CDE7F8" w14:textId="77777777" w:rsidR="00C030A3" w:rsidRDefault="00C030A3" w:rsidP="00011B61">
            <w:pPr>
              <w:jc w:val="both"/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</w:pPr>
          </w:p>
          <w:p w14:paraId="31491D17" w14:textId="77777777" w:rsidR="00C030A3" w:rsidRPr="00903206" w:rsidRDefault="00C030A3" w:rsidP="00011B61">
            <w:pPr>
              <w:jc w:val="both"/>
              <w:rPr>
                <w:rFonts w:ascii="Book Antiqua" w:eastAsia="Book Antiqua" w:hAnsi="Book Antiqua" w:cs="Book Antiqua"/>
                <w:b/>
                <w:sz w:val="18"/>
                <w:szCs w:val="18"/>
              </w:rPr>
            </w:pPr>
            <w:proofErr w:type="spellStart"/>
            <w:r w:rsidRPr="00903206"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  <w:t>Abstrak</w:t>
            </w:r>
            <w:proofErr w:type="spellEnd"/>
            <w:r w:rsidRPr="00903206"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C030A3" w:rsidRPr="00127059" w14:paraId="3DF460CC" w14:textId="77777777" w:rsidTr="00011B61"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41460C" w14:textId="77777777" w:rsidR="00C030A3" w:rsidRDefault="00C030A3" w:rsidP="00011B61">
            <w:pPr>
              <w:jc w:val="both"/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</w:pPr>
            <w:r w:rsidRPr="00127059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 xml:space="preserve">Kata </w:t>
            </w:r>
            <w:proofErr w:type="spellStart"/>
            <w:r w:rsidRPr="00127059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>kunci</w:t>
            </w:r>
            <w:proofErr w:type="spellEnd"/>
            <w:r w:rsidRPr="00127059">
              <w:rPr>
                <w:rFonts w:ascii="Book Antiqua" w:eastAsia="Book Antiqua" w:hAnsi="Book Antiqua" w:cs="Book Antiqua"/>
                <w:bCs/>
                <w:i/>
                <w:sz w:val="18"/>
                <w:szCs w:val="18"/>
              </w:rPr>
              <w:t xml:space="preserve">: </w:t>
            </w:r>
          </w:p>
          <w:p w14:paraId="68B41452" w14:textId="4282C621" w:rsidR="00C030A3" w:rsidRPr="00393C4D" w:rsidRDefault="004C4067" w:rsidP="00BD0665">
            <w:pPr>
              <w:jc w:val="both"/>
              <w:rPr>
                <w:rFonts w:ascii="Book Antiqua" w:hAnsi="Book Antiqua" w:cstheme="majorBidi"/>
                <w:bCs/>
                <w:sz w:val="18"/>
                <w:szCs w:val="18"/>
              </w:rPr>
            </w:pPr>
            <w:proofErr w:type="spellStart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>Relasi</w:t>
            </w:r>
            <w:proofErr w:type="spellEnd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 xml:space="preserve"> </w:t>
            </w:r>
            <w:proofErr w:type="spellStart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>Etis</w:t>
            </w:r>
            <w:proofErr w:type="spellEnd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 xml:space="preserve">; Pendidikan </w:t>
            </w:r>
            <w:proofErr w:type="spellStart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>Karakter</w:t>
            </w:r>
            <w:proofErr w:type="spellEnd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 xml:space="preserve">; </w:t>
            </w:r>
            <w:proofErr w:type="spellStart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>Ayyuhal</w:t>
            </w:r>
            <w:proofErr w:type="spellEnd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 xml:space="preserve"> Walad; Al-Ghazali; </w:t>
            </w:r>
            <w:proofErr w:type="spellStart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>Analisis</w:t>
            </w:r>
            <w:proofErr w:type="spellEnd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 xml:space="preserve"> Isi Tematik; </w:t>
            </w:r>
            <w:proofErr w:type="spellStart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>Pedagogi</w:t>
            </w:r>
            <w:proofErr w:type="spellEnd"/>
            <w:r w:rsidRPr="004C4067">
              <w:rPr>
                <w:rFonts w:ascii="Book Antiqua" w:hAnsi="Book Antiqua" w:cstheme="majorBidi"/>
                <w:bCs/>
                <w:sz w:val="18"/>
                <w:szCs w:val="18"/>
              </w:rPr>
              <w:t xml:space="preserve"> Islam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7C8200" w14:textId="77777777" w:rsidR="00C030A3" w:rsidRPr="00127059" w:rsidRDefault="00C030A3" w:rsidP="00011B61">
            <w:pPr>
              <w:jc w:val="both"/>
              <w:rPr>
                <w:rFonts w:ascii="Book Antiqua" w:eastAsia="Book Antiqua" w:hAnsi="Book Antiqua" w:cs="Book Antiqua"/>
                <w:bCs/>
                <w:sz w:val="18"/>
                <w:szCs w:val="18"/>
              </w:rPr>
            </w:pPr>
          </w:p>
        </w:tc>
        <w:tc>
          <w:tcPr>
            <w:tcW w:w="6345" w:type="dxa"/>
            <w:vMerge w:val="restart"/>
            <w:tcBorders>
              <w:top w:val="single" w:sz="4" w:space="0" w:color="000000"/>
              <w:left w:val="nil"/>
              <w:right w:val="nil"/>
            </w:tcBorders>
          </w:tcPr>
          <w:p w14:paraId="46942FA3" w14:textId="68CFFDBB" w:rsidR="00C030A3" w:rsidRPr="00127059" w:rsidRDefault="00863598" w:rsidP="00D41817">
            <w:pPr>
              <w:jc w:val="both"/>
              <w:rPr>
                <w:rFonts w:ascii="Book Antiqua" w:eastAsia="Book Antiqua" w:hAnsi="Book Antiqua" w:cs="Book Antiqua"/>
                <w:bCs/>
                <w:i/>
                <w:iCs/>
                <w:sz w:val="18"/>
                <w:szCs w:val="18"/>
              </w:rPr>
            </w:pP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Penelitian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ini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menganalisis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relasi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etis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antara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pendidik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dan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peserta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didik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dalam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kitab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Ayyuhal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Walad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karya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Imam Al-Ghazali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serta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mengkaji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relevansinya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terhadap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pendidikan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karakter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di Indonesia.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Praktik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pendidikan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kontemporer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cenderung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memprioritaskan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capaian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kognitif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dan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mengabaikan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dimensi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etis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serta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relasional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dalam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pembelajaran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Penelitian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ini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menggunakan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pendekatan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kualitatif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kepustakaan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(library research)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dengan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analisis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tematik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melalui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enam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fase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sistematis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(Braun &amp; Clarke, 2022).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Keseluruhan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dua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belas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nasihat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utama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mawa'izh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)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dalam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Ayyuhal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Walad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dijadikan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korpus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analisis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menghasilkan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27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kode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awal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dikonsolidasikan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menjadi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tiga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tema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inti. Hasil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penelitian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menunjukkan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bahwa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relasi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etis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dalam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pendidikan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menurut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Al-Ghazali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dibangun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melalui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tiga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pilar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terintegrasi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: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keteladanan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qudwah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), yang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menuntut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pendidik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menjadi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perwujudan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nyata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dari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ilmu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diajarkan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;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niat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ikhlas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niyyah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), yang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mengorientasikan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pembelajaran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pada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tujuan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moral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bukan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instrumental; dan adab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dalam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interaksi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pedagogis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, yang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mengatur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tata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laku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relasional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antara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pendidik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dan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peserta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didik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Ketiga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pilar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ini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saling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mengandaikan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dan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membentuk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relasi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pedagogis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yang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bersifat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transformatif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dalam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pembentukan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karakter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peserta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didik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Penelitian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ini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menunjukkan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keselarasan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kerangka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etis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Al-Ghazali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dengan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temuan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kontemporer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mengenai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hubungan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guru–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peserta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didik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motivasi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berbasis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nilai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, dan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pendidikan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karakter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Kontribusi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penelitian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ini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terletak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pada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operasionalisasi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sistematis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pemikiran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Al-Ghazali,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membuktikan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bahwa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kerangka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etisnya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tidak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hanya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normatif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tetapi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juga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aplikatif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dalam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menjawab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tantangan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pendidikan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>karakter</w:t>
            </w:r>
            <w:proofErr w:type="spellEnd"/>
            <w:r w:rsidRPr="00863598">
              <w:rPr>
                <w:rFonts w:ascii="Book Antiqua" w:hAnsi="Book Antiqua"/>
                <w:bCs/>
                <w:i/>
                <w:iCs/>
                <w:sz w:val="18"/>
                <w:szCs w:val="18"/>
              </w:rPr>
              <w:t xml:space="preserve"> di Indonesia.</w:t>
            </w:r>
          </w:p>
        </w:tc>
      </w:tr>
      <w:tr w:rsidR="00C030A3" w:rsidRPr="00127059" w14:paraId="13CCBB21" w14:textId="77777777" w:rsidTr="00011B61">
        <w:tc>
          <w:tcPr>
            <w:tcW w:w="19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332511E" w14:textId="77777777" w:rsidR="00C030A3" w:rsidRDefault="00C030A3" w:rsidP="00011B61">
            <w:pPr>
              <w:jc w:val="both"/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</w:pPr>
          </w:p>
          <w:p w14:paraId="1C5ED207" w14:textId="77777777" w:rsidR="00C030A3" w:rsidRPr="00D62323" w:rsidRDefault="00C030A3" w:rsidP="00011B61">
            <w:pPr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>Article history:</w:t>
            </w:r>
          </w:p>
          <w:p w14:paraId="7CAC201F" w14:textId="5BFF4893" w:rsidR="00C030A3" w:rsidRPr="00D62323" w:rsidRDefault="00C030A3" w:rsidP="00011B61">
            <w:pPr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 xml:space="preserve">Received: </w:t>
            </w:r>
            <w:r w:rsidR="004C4067">
              <w:rPr>
                <w:rFonts w:ascii="Book Antiqua" w:hAnsi="Book Antiqua"/>
                <w:color w:val="000000"/>
                <w:sz w:val="18"/>
                <w:szCs w:val="18"/>
              </w:rPr>
              <w:t>09</w:t>
            </w: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>-</w:t>
            </w:r>
            <w:r w:rsidR="004C4067">
              <w:rPr>
                <w:rFonts w:ascii="Book Antiqua" w:hAnsi="Book Antiqua"/>
                <w:color w:val="000000"/>
                <w:sz w:val="18"/>
                <w:szCs w:val="18"/>
              </w:rPr>
              <w:t>01</w:t>
            </w: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>-202</w:t>
            </w:r>
            <w:r w:rsidR="004C4067">
              <w:rPr>
                <w:rFonts w:ascii="Book Antiqua" w:hAnsi="Book Antiqua"/>
                <w:color w:val="000000"/>
                <w:sz w:val="18"/>
                <w:szCs w:val="18"/>
              </w:rPr>
              <w:t>6</w:t>
            </w:r>
          </w:p>
          <w:p w14:paraId="72592D56" w14:textId="652F9452" w:rsidR="00C030A3" w:rsidRPr="00D62323" w:rsidRDefault="00C030A3" w:rsidP="00011B61">
            <w:pPr>
              <w:jc w:val="both"/>
              <w:rPr>
                <w:rFonts w:ascii="Book Antiqua" w:hAnsi="Book Antiqua"/>
                <w:color w:val="000000"/>
                <w:sz w:val="18"/>
                <w:szCs w:val="18"/>
              </w:rPr>
            </w:pP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 xml:space="preserve">Revised </w:t>
            </w: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ab/>
            </w:r>
            <w:r w:rsidR="004C4067">
              <w:rPr>
                <w:rFonts w:ascii="Book Antiqua" w:hAnsi="Book Antiqua"/>
                <w:color w:val="000000"/>
                <w:sz w:val="18"/>
                <w:szCs w:val="18"/>
              </w:rPr>
              <w:t>26</w:t>
            </w: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>-</w:t>
            </w:r>
            <w:r w:rsidR="00F76D33">
              <w:rPr>
                <w:rFonts w:ascii="Book Antiqua" w:hAnsi="Book Antiqua"/>
                <w:color w:val="000000"/>
                <w:sz w:val="18"/>
                <w:szCs w:val="18"/>
              </w:rPr>
              <w:t>0</w:t>
            </w:r>
            <w:r w:rsidR="004C4067">
              <w:rPr>
                <w:rFonts w:ascii="Book Antiqua" w:hAnsi="Book Antiqua"/>
                <w:color w:val="000000"/>
                <w:sz w:val="18"/>
                <w:szCs w:val="18"/>
              </w:rPr>
              <w:t>5</w:t>
            </w: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>-20</w:t>
            </w:r>
            <w:r w:rsidR="00F76D33">
              <w:rPr>
                <w:rFonts w:ascii="Book Antiqua" w:hAnsi="Book Antiqua"/>
                <w:color w:val="000000"/>
                <w:sz w:val="18"/>
                <w:szCs w:val="18"/>
              </w:rPr>
              <w:t>26</w:t>
            </w:r>
          </w:p>
          <w:p w14:paraId="622D219E" w14:textId="3011860D" w:rsidR="00C030A3" w:rsidRPr="00127059" w:rsidRDefault="00C030A3" w:rsidP="00011B61">
            <w:pPr>
              <w:jc w:val="both"/>
              <w:rPr>
                <w:rFonts w:ascii="Book Antiqua" w:eastAsia="Book Antiqua" w:hAnsi="Book Antiqua" w:cs="Book Antiqua"/>
                <w:b/>
                <w:i/>
                <w:sz w:val="18"/>
                <w:szCs w:val="18"/>
              </w:rPr>
            </w:pP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 xml:space="preserve">Accepted </w:t>
            </w:r>
            <w:r w:rsidR="004C4067">
              <w:rPr>
                <w:rFonts w:ascii="Book Antiqua" w:hAnsi="Book Antiqua"/>
                <w:color w:val="000000"/>
                <w:sz w:val="18"/>
                <w:szCs w:val="18"/>
              </w:rPr>
              <w:t>23</w:t>
            </w: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>-</w:t>
            </w:r>
            <w:r w:rsidR="00F76D33">
              <w:rPr>
                <w:rFonts w:ascii="Book Antiqua" w:hAnsi="Book Antiqua"/>
                <w:color w:val="000000"/>
                <w:sz w:val="18"/>
                <w:szCs w:val="18"/>
              </w:rPr>
              <w:t>0</w:t>
            </w:r>
            <w:r w:rsidR="004C4067">
              <w:rPr>
                <w:rFonts w:ascii="Book Antiqua" w:hAnsi="Book Antiqua"/>
                <w:color w:val="000000"/>
                <w:sz w:val="18"/>
                <w:szCs w:val="18"/>
              </w:rPr>
              <w:t>6</w:t>
            </w:r>
            <w:r w:rsidRPr="00D62323">
              <w:rPr>
                <w:rFonts w:ascii="Book Antiqua" w:hAnsi="Book Antiqua"/>
                <w:color w:val="000000"/>
                <w:sz w:val="18"/>
                <w:szCs w:val="18"/>
              </w:rPr>
              <w:t>-202</w:t>
            </w:r>
            <w:r w:rsidR="00F76D33">
              <w:rPr>
                <w:rFonts w:ascii="Book Antiqua" w:hAnsi="Book Antiqua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FA175" w14:textId="77777777" w:rsidR="00C030A3" w:rsidRPr="00127059" w:rsidRDefault="00C030A3" w:rsidP="00011B61">
            <w:pPr>
              <w:jc w:val="both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  <w:tc>
          <w:tcPr>
            <w:tcW w:w="6345" w:type="dxa"/>
            <w:vMerge/>
            <w:tcBorders>
              <w:top w:val="single" w:sz="4" w:space="0" w:color="000000"/>
              <w:left w:val="nil"/>
              <w:right w:val="nil"/>
            </w:tcBorders>
          </w:tcPr>
          <w:p w14:paraId="6D91F764" w14:textId="77777777" w:rsidR="00C030A3" w:rsidRPr="00127059" w:rsidRDefault="00C030A3" w:rsidP="00011B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 Antiqua" w:eastAsia="Book Antiqua" w:hAnsi="Book Antiqua" w:cs="Book Antiqua"/>
                <w:sz w:val="18"/>
                <w:szCs w:val="18"/>
              </w:rPr>
            </w:pPr>
          </w:p>
        </w:tc>
      </w:tr>
    </w:tbl>
    <w:p w14:paraId="48BEC947" w14:textId="4D156BE3" w:rsidR="00C030A3" w:rsidRDefault="00C030A3" w:rsidP="00C030A3">
      <w:pPr>
        <w:jc w:val="both"/>
        <w:rPr>
          <w:rFonts w:ascii="Book Antiqua" w:hAnsi="Book Antiqua" w:cs="Book Antiqua"/>
        </w:rPr>
      </w:pPr>
      <w:bookmarkStart w:id="0" w:name="_Hlk136256003"/>
      <w:r w:rsidRPr="00D34EDF">
        <w:rPr>
          <w:rFonts w:ascii="Book Antiqua" w:hAnsi="Book Antiqua" w:cs="Book Antiqua"/>
        </w:rPr>
        <w:t>Corresponding Author:</w:t>
      </w:r>
      <w:bookmarkEnd w:id="0"/>
    </w:p>
    <w:p w14:paraId="633F8A67" w14:textId="1E4ACE55" w:rsidR="00F76D33" w:rsidRDefault="00A552D1" w:rsidP="00F76D33">
      <w:pPr>
        <w:jc w:val="both"/>
        <w:rPr>
          <w:rFonts w:ascii="Book Antiqua" w:hAnsi="Book Antiqua" w:cs="Book Antiqua"/>
        </w:rPr>
      </w:pPr>
      <w:r w:rsidRPr="00A552D1">
        <w:rPr>
          <w:rFonts w:ascii="Book Antiqua" w:hAnsi="Book Antiqua" w:cs="Book Antiqua"/>
        </w:rPr>
        <w:t>Siti Zainab</w:t>
      </w:r>
    </w:p>
    <w:p w14:paraId="1D4DA614" w14:textId="2AB30A4B" w:rsidR="00A151DC" w:rsidRDefault="00A552D1" w:rsidP="00F76D33">
      <w:pPr>
        <w:pStyle w:val="Alishlah16affiliation"/>
        <w:ind w:left="0" w:firstLine="0"/>
        <w:rPr>
          <w:color w:val="auto"/>
          <w:lang w:val="en-GB"/>
        </w:rPr>
      </w:pPr>
      <w:r w:rsidRPr="00A552D1">
        <w:rPr>
          <w:rFonts w:ascii="Book Antiqua" w:hAnsi="Book Antiqua" w:cs="Book Antiqua"/>
        </w:rPr>
        <w:t xml:space="preserve">Universitas Islam Negeri </w:t>
      </w:r>
      <w:proofErr w:type="spellStart"/>
      <w:r w:rsidRPr="00A552D1">
        <w:rPr>
          <w:rFonts w:ascii="Book Antiqua" w:hAnsi="Book Antiqua" w:cs="Book Antiqua"/>
        </w:rPr>
        <w:t>Antasari</w:t>
      </w:r>
      <w:proofErr w:type="spellEnd"/>
      <w:r w:rsidRPr="00A552D1">
        <w:rPr>
          <w:rFonts w:ascii="Book Antiqua" w:hAnsi="Book Antiqua" w:cs="Book Antiqua"/>
        </w:rPr>
        <w:t>, Banjarmasin, Indonesia</w:t>
      </w:r>
      <w:r w:rsidR="00F76D33" w:rsidRPr="00F76D33">
        <w:rPr>
          <w:rFonts w:ascii="Book Antiqua" w:hAnsi="Book Antiqua" w:cs="Book Antiqua"/>
        </w:rPr>
        <w:t xml:space="preserve">; </w:t>
      </w:r>
      <w:hyperlink r:id="rId10" w:history="1">
        <w:r w:rsidRPr="002175A5">
          <w:rPr>
            <w:rStyle w:val="Hyperlink"/>
          </w:rPr>
          <w:t>Sitizainab4598@gmail.com</w:t>
        </w:r>
      </w:hyperlink>
      <w:r>
        <w:t xml:space="preserve"> </w:t>
      </w:r>
      <w:r w:rsidR="00F76D33">
        <w:rPr>
          <w:rFonts w:ascii="Book Antiqua" w:hAnsi="Book Antiqua" w:cs="Book Antiqua"/>
        </w:rPr>
        <w:t xml:space="preserve"> </w:t>
      </w:r>
    </w:p>
    <w:tbl>
      <w:tblPr>
        <w:tblW w:w="8721" w:type="dxa"/>
        <w:tblInd w:w="-115" w:type="dxa"/>
        <w:tblBorders>
          <w:top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75"/>
        <w:gridCol w:w="3846"/>
      </w:tblGrid>
      <w:tr w:rsidR="00C030A3" w:rsidRPr="008A4895" w14:paraId="40636007" w14:textId="77777777" w:rsidTr="00011B61">
        <w:tc>
          <w:tcPr>
            <w:tcW w:w="4875" w:type="dxa"/>
          </w:tcPr>
          <w:p w14:paraId="68E720C9" w14:textId="77777777" w:rsidR="00C030A3" w:rsidRPr="008A4895" w:rsidRDefault="00C030A3" w:rsidP="00011B61"/>
        </w:tc>
        <w:tc>
          <w:tcPr>
            <w:tcW w:w="3846" w:type="dxa"/>
          </w:tcPr>
          <w:p w14:paraId="05E1BEDA" w14:textId="77777777" w:rsidR="00C030A3" w:rsidRPr="008A4895" w:rsidRDefault="00C030A3" w:rsidP="00011B61">
            <w:pPr>
              <w:jc w:val="right"/>
            </w:pPr>
          </w:p>
        </w:tc>
      </w:tr>
    </w:tbl>
    <w:p w14:paraId="38597544" w14:textId="77777777" w:rsidR="00A552D1" w:rsidRDefault="00A552D1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6FFC634C" w14:textId="77777777" w:rsidR="00A552D1" w:rsidRDefault="00A552D1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119BE4BF" w14:textId="0A767379" w:rsidR="00F440A9" w:rsidRDefault="0031098B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PENDAHULUAN</w:t>
      </w:r>
    </w:p>
    <w:p w14:paraId="41032D8F" w14:textId="77777777" w:rsidR="00AC43B0" w:rsidRPr="00AC43B0" w:rsidRDefault="00AC43B0" w:rsidP="00AC43B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merupakan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inti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proses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bermakna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konteks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Islam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klasik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sekadar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bersifat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fungsional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tetapi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mengandung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dimensi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moral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Imam Al-Ghazali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merumuskan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konsep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komprehensif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kitab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sebuah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risalah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ditulisnya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respons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atas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kegelisahan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seorang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muridnya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merasa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ilmunya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belum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mengubah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akhlak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amalannya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Konteks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inilah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menjadikan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bukan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sekadar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risalah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teoritis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melainkan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panduan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relasional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lahir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interaksi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nyata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 dan murid (Al-Ghazali, 1985/2021). Al-Ghazali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memandang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sarat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tanggung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jawab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moral, di mana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keberhasilan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diukur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capaian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kognitif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semata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tetapi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kualitas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terbentuk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interaksi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berkelanjutan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Indana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&amp; Mustofa, 2024).</w:t>
      </w:r>
    </w:p>
    <w:p w14:paraId="31F7B060" w14:textId="77777777" w:rsidR="00AC43B0" w:rsidRPr="00AC43B0" w:rsidRDefault="00AC43B0" w:rsidP="00AC43B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Urgensi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kajian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semakin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kuat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konteks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kontemporer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Laporan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UNESCO (2021)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menegaskan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abad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ke-21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hanya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berorientasi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kompetensi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akademik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tetapi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pembentukan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kemanusiaan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berkelanjutan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sejalan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pandangan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modern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menekankan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pentingnya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integrasi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dimensi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proses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pembelajaran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Lickona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1991).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Berbagai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adanya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krisis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degradasi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dapat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diselesaikan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hanya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pendekatan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kognitif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semata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Kristiawan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et al., 2022).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konteks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Indonesia,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menjadi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salah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satu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prioritas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nasional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memerlukan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fondasi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kuat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tradisi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keilmuan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Islam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maupun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perspektif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modern.</w:t>
      </w:r>
    </w:p>
    <w:p w14:paraId="06361C29" w14:textId="77777777" w:rsidR="00AC43B0" w:rsidRPr="00AC43B0" w:rsidRDefault="00AC43B0" w:rsidP="00AC43B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Salah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satu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prinsip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utama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adalah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qudwah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). Al-Ghazali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menegaskan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berposisi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figur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teladan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;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perilaku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sikap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hidupnya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menjadi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rujukan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Ilmu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diiringi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amal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adalah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sia-sia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seorang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mengamalkan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ilmunya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layak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membimbing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orang lain.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Prinsip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sejalan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kajian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menempatkan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faktor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determinan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keberhasilan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(Turner et al., 2024;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Faizin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et al., 2023). Xu et al. (2025) juga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kualitas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hubungan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guru–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berpengaruh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signifikan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motivasi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belajar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partisipasi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aktif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64E2F6BB" w14:textId="77777777" w:rsidR="00AC43B0" w:rsidRPr="00AC43B0" w:rsidRDefault="00AC43B0" w:rsidP="00AC43B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Selain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Al-Ghazali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menekankan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dimensi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niyyah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 dan adab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fondasi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Sabariah et al. (2024)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mengungkapkan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adab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menurut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mencakup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ikhlas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kerendahan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hati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kesabaran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belajar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rasa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hormat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bersama-sama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memfasilitasi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pembentukan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spiritual dan moral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Perspektif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selaras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teori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perkembangan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menekankan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pembentukan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terjadi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hanya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kognisi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tetapi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juga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pembiasaan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pengalaman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sosial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bermakna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(Narvaez &amp; Lapsley, 2009). Jadidah (2024)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konsep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lastRenderedPageBreak/>
        <w:t xml:space="preserve">adab Al-Ghazali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memiliki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relevansi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langsung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pembentukan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lingkungan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kontemporer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722059B8" w14:textId="77777777" w:rsidR="00AC43B0" w:rsidRPr="00AC43B0" w:rsidRDefault="00AC43B0" w:rsidP="00AC43B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konteks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 Indonesia,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integrasi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nilai-nilai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dapat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memberikan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kontribusi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signifikan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bagi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penguatan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praktik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pembelajaran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berorientasi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pengembangan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dan spiritual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(Khairunnisa et al., 2024). Hal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semakin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penting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 era digital, di mana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menghadapi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tantangan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semakin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kompleks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Ritonga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(2022)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menegaskan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arus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digitalisasi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memperluas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ruang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belajar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ranah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nonformal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sarat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tantangan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sehingga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menuntut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peran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membimbing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kritis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reflektif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Yang et al. (2025)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hubungan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guru–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dilandasi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empati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berkontribusi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perkembangan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090D6A4C" w14:textId="7572599D" w:rsidR="00F440A9" w:rsidRDefault="00AC43B0" w:rsidP="00AC43B0">
      <w:pPr>
        <w:spacing w:line="276" w:lineRule="auto"/>
        <w:ind w:firstLine="567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Meskipun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berbagai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telah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mengkaji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perspektif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sebagian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besar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masih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berfokus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identifikasi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nilai-nilai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umum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belum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spesifik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menelaah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dimensi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konstruksi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utuh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Kajian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khusus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menganalisis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menggunakan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pendekatan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tematik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berprosedur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transparan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juga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masih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sangat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terbatas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(Yusuf &amp; Tamam, 2023).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mengisi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celah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tersebut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mengidentifikasi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sistematis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tiga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pilar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qudwah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niyyah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, dan adab</w:t>
      </w:r>
      <w:r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langsung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keseluruhan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primer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prosedur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koding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dapat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diverifikasi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diaudit</w:t>
      </w:r>
      <w:proofErr w:type="spellEnd"/>
      <w:r w:rsidR="00C46A6B" w:rsidRPr="00C46A6B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62B3ADFD" w14:textId="77777777" w:rsidR="00F440A9" w:rsidRDefault="00F440A9" w:rsidP="00FD2025">
      <w:pPr>
        <w:spacing w:line="276" w:lineRule="auto"/>
        <w:jc w:val="center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2226AE96" w14:textId="77777777" w:rsidR="00F440A9" w:rsidRDefault="0031098B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METODE PENELITIAN</w:t>
      </w:r>
    </w:p>
    <w:p w14:paraId="5FC191E4" w14:textId="650FE975" w:rsidR="007D1750" w:rsidRPr="007D1750" w:rsidRDefault="00AC43B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menggunakan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pendekatan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kualitatif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jenis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kepustakaan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(library research).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Pendekatan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dipilih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karena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berfokus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konseptual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kitab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tanpa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melibatkan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pengumpulan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data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lapangan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kepustakaan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memungkinkan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eksplorasi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mendalam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makna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konsep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terkandung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klasik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proses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interpretasi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sistematis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>kontekstual</w:t>
      </w:r>
      <w:proofErr w:type="spellEnd"/>
      <w:r w:rsidRPr="00AC43B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(Creswell &amp; Poth, 2023; Denzin &amp; Lincoln, 2018).</w:t>
      </w:r>
    </w:p>
    <w:p w14:paraId="2006D376" w14:textId="77777777" w:rsidR="007D1750" w:rsidRPr="007D1750" w:rsidRDefault="007D1750" w:rsidP="007D1750">
      <w:pPr>
        <w:spacing w:before="160" w:after="80"/>
        <w:rPr>
          <w:rFonts w:ascii="Book Antiqua" w:hAnsi="Book Antiqua"/>
          <w:sz w:val="22"/>
          <w:szCs w:val="22"/>
        </w:rPr>
      </w:pPr>
      <w:proofErr w:type="spellStart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>Sumber</w:t>
      </w:r>
      <w:proofErr w:type="spellEnd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 xml:space="preserve"> Data</w:t>
      </w:r>
    </w:p>
    <w:p w14:paraId="40EB2478" w14:textId="7E45EE7D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Sumber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data primer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adalah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utama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karya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Imam Al-Ghazali (Al-Ghazali, 1985/2021),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terdiri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dua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belas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nasihat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utama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Pr="0058001D"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>(</w:t>
      </w:r>
      <w:proofErr w:type="spellStart"/>
      <w:r w:rsidRPr="0058001D"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>mawa'izh</w:t>
      </w:r>
      <w:proofErr w:type="spellEnd"/>
      <w:r w:rsidRPr="0058001D"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>).</w:t>
      </w: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Seluruh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dua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belas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nasihat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tersebut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dijadikan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korpus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bukan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hanya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bagian-bagian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tertentu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sehingga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mencerminkan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keseluruhan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utuh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Data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sekunder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diperoleh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artikel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jurnal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nasional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internasional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bereputasi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buku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akademik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serta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kajian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ilmiah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mutakhir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(2020–2025)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membahas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etika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pemikiran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Al-Ghazali.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Pemilihan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sumber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sekunder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dilakukan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purposive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berdasarkan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kriteria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: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relevansi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kredibilitas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akademik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terindeks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Pr="0058001D"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>Scopus, Web of Science</w:t>
      </w: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atau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Sinta),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keterbaruan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publikasi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706F30FD" w14:textId="77777777" w:rsidR="003F7660" w:rsidRDefault="003F7660" w:rsidP="007D1750">
      <w:pPr>
        <w:spacing w:before="160" w:after="80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37960D0A" w14:textId="77777777" w:rsidR="003F7660" w:rsidRDefault="003F7660" w:rsidP="007D1750">
      <w:pPr>
        <w:spacing w:before="160" w:after="80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17E2D7D4" w14:textId="74B75072" w:rsidR="007D1750" w:rsidRPr="007D1750" w:rsidRDefault="007D1750" w:rsidP="007D1750">
      <w:pPr>
        <w:spacing w:before="160" w:after="80"/>
        <w:rPr>
          <w:rFonts w:ascii="Book Antiqua" w:hAnsi="Book Antiqua"/>
          <w:b/>
          <w:bCs/>
          <w:i/>
          <w:iCs/>
          <w:sz w:val="22"/>
          <w:szCs w:val="22"/>
        </w:rPr>
      </w:pPr>
      <w:proofErr w:type="spellStart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lastRenderedPageBreak/>
        <w:t>Prosedur</w:t>
      </w:r>
      <w:proofErr w:type="spellEnd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>Pengumpulan</w:t>
      </w:r>
      <w:proofErr w:type="spellEnd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 xml:space="preserve"> Data</w:t>
      </w:r>
    </w:p>
    <w:p w14:paraId="747E9762" w14:textId="59EBC8FD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Pengumpulan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data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dilakukan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studi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dokumentasi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tiga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tahap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Pertama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pembacaan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menyeluruh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Pr="0058001D"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>(holistic reading)</w:t>
      </w: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: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dibaca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utuh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sebanyak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dua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putaran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sebelum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koding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dimulai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Kedua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penandaan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awal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Pr="0058001D"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>(initial marking):</w:t>
      </w: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setiap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kalimat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atau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paragraf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mengandung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muatan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relasional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diberi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tanda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dicatat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lembar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kerja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Ketiga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pencatatan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unit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makna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: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setiap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bagian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relevan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diidentifikasi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beserta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konteks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nasihat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pada unit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berapa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unit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tersebut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muncul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78293B9" w14:textId="77777777" w:rsidR="007D1750" w:rsidRPr="007D1750" w:rsidRDefault="007D1750" w:rsidP="007D1750">
      <w:pPr>
        <w:spacing w:before="160" w:after="80"/>
        <w:rPr>
          <w:rFonts w:ascii="Book Antiqua" w:hAnsi="Book Antiqua"/>
          <w:b/>
          <w:bCs/>
          <w:i/>
          <w:iCs/>
          <w:sz w:val="22"/>
          <w:szCs w:val="22"/>
        </w:rPr>
      </w:pPr>
      <w:proofErr w:type="spellStart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>Prosedur</w:t>
      </w:r>
      <w:proofErr w:type="spellEnd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>Analisis</w:t>
      </w:r>
      <w:proofErr w:type="spellEnd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 xml:space="preserve">: </w:t>
      </w:r>
      <w:proofErr w:type="spellStart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>Analisis</w:t>
      </w:r>
      <w:proofErr w:type="spellEnd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 xml:space="preserve"> Isi </w:t>
      </w:r>
      <w:proofErr w:type="spellStart"/>
      <w:r w:rsidRPr="007D1750">
        <w:rPr>
          <w:rFonts w:ascii="Book Antiqua" w:hAnsi="Book Antiqua"/>
          <w:b/>
          <w:bCs/>
          <w:i/>
          <w:iCs/>
          <w:sz w:val="22"/>
          <w:szCs w:val="22"/>
        </w:rPr>
        <w:t>Tematik</w:t>
      </w:r>
      <w:proofErr w:type="spellEnd"/>
    </w:p>
    <w:p w14:paraId="2769E345" w14:textId="77777777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data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menggunakan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isi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tematik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Pr="0058001D"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>(thematic content analysis)</w:t>
      </w: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mengikuti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enam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fase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Braun dan Clarke (2022)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dijalankan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eksplisit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24409759" w14:textId="12ED96DA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Fase 1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Familiarisasi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Data):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Peneliti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membaca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membaca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ulang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menyeluruh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serta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membuat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catatan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awal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tentang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pola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relasional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muncul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seperti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penyebutan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berulang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tentang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perilaku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murid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peringatan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tentang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anjuran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untuk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konsistensi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ucapan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perbuatan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5CFAFD88" w14:textId="77777777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Fase 2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Pembangkitan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Kode Awal):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Setiap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unit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makna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teridentifikasi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diberi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kode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deskriptif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Proses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menghasilkan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27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kode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awal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keseluruhan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Tabel 1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menyajikan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sampel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representatif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proses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koding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awal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tersebut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23DD4032" w14:textId="77777777" w:rsidR="007D1750" w:rsidRPr="007D1750" w:rsidRDefault="007D1750" w:rsidP="007D1750">
      <w:pPr>
        <w:spacing w:before="120" w:after="60"/>
        <w:jc w:val="center"/>
        <w:rPr>
          <w:rFonts w:ascii="Book Antiqua" w:hAnsi="Book Antiqua"/>
        </w:rPr>
      </w:pPr>
      <w:r w:rsidRPr="007D1750">
        <w:rPr>
          <w:rFonts w:ascii="Book Antiqua" w:hAnsi="Book Antiqua"/>
          <w:b/>
          <w:bCs/>
        </w:rPr>
        <w:t>Tabel 1</w:t>
      </w:r>
    </w:p>
    <w:p w14:paraId="79F48651" w14:textId="77777777" w:rsidR="007D1750" w:rsidRPr="007D1750" w:rsidRDefault="007D1750" w:rsidP="007D1750">
      <w:pPr>
        <w:spacing w:after="100"/>
        <w:jc w:val="center"/>
        <w:rPr>
          <w:rFonts w:ascii="Book Antiqua" w:hAnsi="Book Antiqua"/>
        </w:rPr>
      </w:pPr>
      <w:r w:rsidRPr="007D1750">
        <w:rPr>
          <w:rFonts w:ascii="Book Antiqua" w:hAnsi="Book Antiqua"/>
          <w:i/>
          <w:iCs/>
        </w:rPr>
        <w:t xml:space="preserve">Sampel </w:t>
      </w:r>
      <w:proofErr w:type="spellStart"/>
      <w:r w:rsidRPr="007D1750">
        <w:rPr>
          <w:rFonts w:ascii="Book Antiqua" w:hAnsi="Book Antiqua"/>
          <w:i/>
          <w:iCs/>
        </w:rPr>
        <w:t>Koding</w:t>
      </w:r>
      <w:proofErr w:type="spellEnd"/>
      <w:r w:rsidRPr="007D1750">
        <w:rPr>
          <w:rFonts w:ascii="Book Antiqua" w:hAnsi="Book Antiqua"/>
          <w:i/>
          <w:iCs/>
        </w:rPr>
        <w:t xml:space="preserve"> Awal </w:t>
      </w:r>
      <w:proofErr w:type="spellStart"/>
      <w:r w:rsidRPr="007D1750">
        <w:rPr>
          <w:rFonts w:ascii="Book Antiqua" w:hAnsi="Book Antiqua"/>
          <w:i/>
          <w:iCs/>
        </w:rPr>
        <w:t>dari</w:t>
      </w:r>
      <w:proofErr w:type="spellEnd"/>
      <w:r w:rsidRPr="007D1750">
        <w:rPr>
          <w:rFonts w:ascii="Book Antiqua" w:hAnsi="Book Antiqua"/>
          <w:i/>
          <w:iCs/>
        </w:rPr>
        <w:t xml:space="preserve"> Teks </w:t>
      </w:r>
      <w:proofErr w:type="spellStart"/>
      <w:r w:rsidRPr="007D1750">
        <w:rPr>
          <w:rFonts w:ascii="Book Antiqua" w:hAnsi="Book Antiqua"/>
          <w:i/>
          <w:iCs/>
        </w:rPr>
        <w:t>Ayyuhal</w:t>
      </w:r>
      <w:proofErr w:type="spellEnd"/>
      <w:r w:rsidRPr="007D1750">
        <w:rPr>
          <w:rFonts w:ascii="Book Antiqua" w:hAnsi="Book Antiqua"/>
          <w:i/>
          <w:iCs/>
        </w:rPr>
        <w:t xml:space="preserve"> Walad</w:t>
      </w:r>
    </w:p>
    <w:tbl>
      <w:tblPr>
        <w:tblW w:w="800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954"/>
        <w:gridCol w:w="2079"/>
        <w:gridCol w:w="2488"/>
      </w:tblGrid>
      <w:tr w:rsidR="007D1750" w:rsidRPr="007D1750" w14:paraId="3E741C28" w14:textId="77777777" w:rsidTr="00060DBC">
        <w:tc>
          <w:tcPr>
            <w:tcW w:w="360" w:type="dxa"/>
            <w:tcBorders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D1CE8F" w14:textId="77777777" w:rsidR="007D1750" w:rsidRPr="00060DBC" w:rsidRDefault="007D1750" w:rsidP="003A09F1">
            <w:pPr>
              <w:rPr>
                <w:rFonts w:ascii="Book Antiqua" w:hAnsi="Book Antiqua"/>
              </w:rPr>
            </w:pPr>
            <w:r w:rsidRPr="00060DBC">
              <w:rPr>
                <w:rFonts w:ascii="Book Antiqua" w:hAnsi="Book Antiqua"/>
                <w:b/>
                <w:bCs/>
              </w:rPr>
              <w:t>No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FEE049C" w14:textId="77777777" w:rsidR="007D1750" w:rsidRPr="00060DBC" w:rsidRDefault="007D1750" w:rsidP="003A09F1">
            <w:pPr>
              <w:rPr>
                <w:rFonts w:ascii="Book Antiqua" w:hAnsi="Book Antiqua"/>
              </w:rPr>
            </w:pPr>
            <w:r w:rsidRPr="00060DBC">
              <w:rPr>
                <w:rFonts w:ascii="Book Antiqua" w:hAnsi="Book Antiqua"/>
                <w:b/>
                <w:bCs/>
              </w:rPr>
              <w:t xml:space="preserve">Unit </w:t>
            </w:r>
            <w:proofErr w:type="spellStart"/>
            <w:r w:rsidRPr="00060DBC">
              <w:rPr>
                <w:rFonts w:ascii="Book Antiqua" w:hAnsi="Book Antiqua"/>
                <w:b/>
                <w:bCs/>
              </w:rPr>
              <w:t>Makna</w:t>
            </w:r>
            <w:proofErr w:type="spellEnd"/>
            <w:r w:rsidRPr="00060DBC">
              <w:rPr>
                <w:rFonts w:ascii="Book Antiqua" w:hAnsi="Book Antiqua"/>
                <w:b/>
                <w:bCs/>
              </w:rPr>
              <w:t xml:space="preserve"> (</w:t>
            </w:r>
            <w:proofErr w:type="spellStart"/>
            <w:r w:rsidRPr="00060DBC">
              <w:rPr>
                <w:rFonts w:ascii="Book Antiqua" w:hAnsi="Book Antiqua"/>
                <w:b/>
                <w:bCs/>
              </w:rPr>
              <w:t>Kutipan</w:t>
            </w:r>
            <w:proofErr w:type="spellEnd"/>
            <w:r w:rsidRPr="00060DBC">
              <w:rPr>
                <w:rFonts w:ascii="Book Antiqua" w:hAnsi="Book Antiqua"/>
                <w:b/>
                <w:bCs/>
              </w:rPr>
              <w:t xml:space="preserve"> Teks)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933CB83" w14:textId="77777777" w:rsidR="007D1750" w:rsidRPr="00060DBC" w:rsidRDefault="007D1750" w:rsidP="003A09F1">
            <w:pPr>
              <w:rPr>
                <w:rFonts w:ascii="Book Antiqua" w:hAnsi="Book Antiqua"/>
              </w:rPr>
            </w:pPr>
            <w:r w:rsidRPr="00060DBC">
              <w:rPr>
                <w:rFonts w:ascii="Book Antiqua" w:hAnsi="Book Antiqua"/>
                <w:b/>
                <w:bCs/>
              </w:rPr>
              <w:t>Kode Awal</w:t>
            </w:r>
          </w:p>
        </w:tc>
        <w:tc>
          <w:tcPr>
            <w:tcW w:w="2540" w:type="dxa"/>
            <w:tcBorders>
              <w:lef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313175C" w14:textId="77777777" w:rsidR="007D1750" w:rsidRPr="00060DBC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060DBC">
              <w:rPr>
                <w:rFonts w:ascii="Book Antiqua" w:hAnsi="Book Antiqua"/>
                <w:b/>
                <w:bCs/>
              </w:rPr>
              <w:t>Nasihat</w:t>
            </w:r>
            <w:proofErr w:type="spellEnd"/>
            <w:r w:rsidRPr="00060DBC">
              <w:rPr>
                <w:rFonts w:ascii="Book Antiqua" w:hAnsi="Book Antiqua"/>
                <w:b/>
                <w:bCs/>
              </w:rPr>
              <w:t xml:space="preserve"> &amp; Tema</w:t>
            </w:r>
          </w:p>
        </w:tc>
      </w:tr>
      <w:tr w:rsidR="007D1750" w:rsidRPr="007D1750" w14:paraId="16A58371" w14:textId="77777777" w:rsidTr="00060DBC">
        <w:tc>
          <w:tcPr>
            <w:tcW w:w="36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690E90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>1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607098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"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Ilmu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tanpa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amal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adalah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gila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,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amal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tanpa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ilmu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tidak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akan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berarti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"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CC5F98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Kesatuan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ilmu-amal</w:t>
            </w:r>
            <w:proofErr w:type="spellEnd"/>
            <w:r w:rsidRPr="007D1750">
              <w:rPr>
                <w:rFonts w:ascii="Book Antiqua" w:hAnsi="Book Antiqua"/>
              </w:rPr>
              <w:t xml:space="preserve">; </w:t>
            </w:r>
            <w:proofErr w:type="spellStart"/>
            <w:r w:rsidRPr="007D1750">
              <w:rPr>
                <w:rFonts w:ascii="Book Antiqua" w:hAnsi="Book Antiqua"/>
              </w:rPr>
              <w:t>peran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teladan</w:t>
            </w:r>
            <w:proofErr w:type="spellEnd"/>
          </w:p>
        </w:tc>
        <w:tc>
          <w:tcPr>
            <w:tcW w:w="254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57C2508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Nasihat</w:t>
            </w:r>
            <w:proofErr w:type="spellEnd"/>
            <w:r w:rsidRPr="007D1750">
              <w:rPr>
                <w:rFonts w:ascii="Book Antiqua" w:hAnsi="Book Antiqua"/>
              </w:rPr>
              <w:t xml:space="preserve"> 1 → Qudwah</w:t>
            </w:r>
          </w:p>
        </w:tc>
      </w:tr>
      <w:tr w:rsidR="007D1750" w:rsidRPr="007D1750" w14:paraId="52177FB8" w14:textId="77777777" w:rsidTr="00060DBC">
        <w:tc>
          <w:tcPr>
            <w:tcW w:w="36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6B0503A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>2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02BA88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 xml:space="preserve">"Jika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tujuanmu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menuntut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ilmu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untuk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kepentingan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dunia,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maka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engkau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telah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merugikan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dirimu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sendiri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"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4BAB7BE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Orientasi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niat</w:t>
            </w:r>
            <w:proofErr w:type="spellEnd"/>
            <w:r w:rsidRPr="007D1750">
              <w:rPr>
                <w:rFonts w:ascii="Book Antiqua" w:hAnsi="Book Antiqua"/>
              </w:rPr>
              <w:t xml:space="preserve">; </w:t>
            </w:r>
            <w:proofErr w:type="spellStart"/>
            <w:r w:rsidRPr="007D1750">
              <w:rPr>
                <w:rFonts w:ascii="Book Antiqua" w:hAnsi="Book Antiqua"/>
              </w:rPr>
              <w:t>bahaya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motivasi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duniawi</w:t>
            </w:r>
            <w:proofErr w:type="spellEnd"/>
          </w:p>
        </w:tc>
        <w:tc>
          <w:tcPr>
            <w:tcW w:w="254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A27C0AD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Nasihat</w:t>
            </w:r>
            <w:proofErr w:type="spellEnd"/>
            <w:r w:rsidRPr="007D1750">
              <w:rPr>
                <w:rFonts w:ascii="Book Antiqua" w:hAnsi="Book Antiqua"/>
              </w:rPr>
              <w:t xml:space="preserve"> 2 → Niyyah</w:t>
            </w:r>
          </w:p>
        </w:tc>
      </w:tr>
      <w:tr w:rsidR="007D1750" w:rsidRPr="007D1750" w14:paraId="128697A5" w14:textId="77777777" w:rsidTr="00060DBC">
        <w:tc>
          <w:tcPr>
            <w:tcW w:w="36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A8B8BA2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>3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678C53C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"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Ilmu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yang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tidak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menjauhkanmu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dari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maksiat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...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besok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tidak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akan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menjauhkanmu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dari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neraka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"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333A2E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Ilmu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transformatif</w:t>
            </w:r>
            <w:proofErr w:type="spellEnd"/>
            <w:r w:rsidRPr="007D1750">
              <w:rPr>
                <w:rFonts w:ascii="Book Antiqua" w:hAnsi="Book Antiqua"/>
              </w:rPr>
              <w:t xml:space="preserve">; </w:t>
            </w:r>
            <w:proofErr w:type="spellStart"/>
            <w:r w:rsidRPr="007D1750">
              <w:rPr>
                <w:rFonts w:ascii="Book Antiqua" w:hAnsi="Book Antiqua"/>
              </w:rPr>
              <w:t>fungsi</w:t>
            </w:r>
            <w:proofErr w:type="spellEnd"/>
            <w:r w:rsidRPr="007D1750">
              <w:rPr>
                <w:rFonts w:ascii="Book Antiqua" w:hAnsi="Book Antiqua"/>
              </w:rPr>
              <w:t xml:space="preserve"> moral </w:t>
            </w:r>
            <w:proofErr w:type="spellStart"/>
            <w:r w:rsidRPr="007D1750">
              <w:rPr>
                <w:rFonts w:ascii="Book Antiqua" w:hAnsi="Book Antiqua"/>
              </w:rPr>
              <w:t>pendidikan</w:t>
            </w:r>
            <w:proofErr w:type="spellEnd"/>
          </w:p>
        </w:tc>
        <w:tc>
          <w:tcPr>
            <w:tcW w:w="254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4BD711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Nasihat</w:t>
            </w:r>
            <w:proofErr w:type="spellEnd"/>
            <w:r w:rsidRPr="007D1750">
              <w:rPr>
                <w:rFonts w:ascii="Book Antiqua" w:hAnsi="Book Antiqua"/>
              </w:rPr>
              <w:t xml:space="preserve"> 3 → Qudwah</w:t>
            </w:r>
          </w:p>
        </w:tc>
      </w:tr>
      <w:tr w:rsidR="007D1750" w:rsidRPr="007D1750" w14:paraId="67FB4373" w14:textId="77777777" w:rsidTr="00060DBC">
        <w:tc>
          <w:tcPr>
            <w:tcW w:w="36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0746111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>4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BCB7FF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 xml:space="preserve">"Di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antara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adab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penuntut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ilmu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adalah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tidak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membantah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gurunya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"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1EB7DEA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Adab </w:t>
            </w:r>
            <w:proofErr w:type="spellStart"/>
            <w:r w:rsidRPr="007D1750">
              <w:rPr>
                <w:rFonts w:ascii="Book Antiqua" w:hAnsi="Book Antiqua"/>
              </w:rPr>
              <w:t>terhadap</w:t>
            </w:r>
            <w:proofErr w:type="spellEnd"/>
            <w:r w:rsidRPr="007D1750">
              <w:rPr>
                <w:rFonts w:ascii="Book Antiqua" w:hAnsi="Book Antiqua"/>
              </w:rPr>
              <w:t xml:space="preserve"> guru; </w:t>
            </w:r>
            <w:proofErr w:type="spellStart"/>
            <w:r w:rsidRPr="007D1750">
              <w:rPr>
                <w:rFonts w:ascii="Book Antiqua" w:hAnsi="Book Antiqua"/>
              </w:rPr>
              <w:t>kerendahan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hati</w:t>
            </w:r>
            <w:proofErr w:type="spellEnd"/>
          </w:p>
        </w:tc>
        <w:tc>
          <w:tcPr>
            <w:tcW w:w="254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24A5067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Nasihat</w:t>
            </w:r>
            <w:proofErr w:type="spellEnd"/>
            <w:r w:rsidRPr="007D1750">
              <w:rPr>
                <w:rFonts w:ascii="Book Antiqua" w:hAnsi="Book Antiqua"/>
              </w:rPr>
              <w:t xml:space="preserve"> 4 → Adab</w:t>
            </w:r>
          </w:p>
        </w:tc>
      </w:tr>
      <w:tr w:rsidR="007D1750" w:rsidRPr="007D1750" w14:paraId="57380155" w14:textId="77777777" w:rsidTr="00060DBC">
        <w:tc>
          <w:tcPr>
            <w:tcW w:w="36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D579049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>5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346FD84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"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Janganlah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bertanya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kepada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guru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ketika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ia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sedang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tidak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berkenan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"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5785EE3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Kepekaan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relasional</w:t>
            </w:r>
            <w:proofErr w:type="spellEnd"/>
            <w:r w:rsidRPr="007D1750">
              <w:rPr>
                <w:rFonts w:ascii="Book Antiqua" w:hAnsi="Book Antiqua"/>
              </w:rPr>
              <w:t xml:space="preserve">; </w:t>
            </w:r>
            <w:proofErr w:type="spellStart"/>
            <w:r w:rsidRPr="007D1750">
              <w:rPr>
                <w:rFonts w:ascii="Book Antiqua" w:hAnsi="Book Antiqua"/>
              </w:rPr>
              <w:t>penghormatan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waktu</w:t>
            </w:r>
            <w:proofErr w:type="spellEnd"/>
            <w:r w:rsidRPr="007D1750">
              <w:rPr>
                <w:rFonts w:ascii="Book Antiqua" w:hAnsi="Book Antiqua"/>
              </w:rPr>
              <w:t xml:space="preserve"> guru</w:t>
            </w:r>
          </w:p>
        </w:tc>
        <w:tc>
          <w:tcPr>
            <w:tcW w:w="254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5DCEB35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Nasihat</w:t>
            </w:r>
            <w:proofErr w:type="spellEnd"/>
            <w:r w:rsidRPr="007D1750">
              <w:rPr>
                <w:rFonts w:ascii="Book Antiqua" w:hAnsi="Book Antiqua"/>
              </w:rPr>
              <w:t xml:space="preserve"> 4 → Adab</w:t>
            </w:r>
          </w:p>
        </w:tc>
      </w:tr>
      <w:tr w:rsidR="007D1750" w:rsidRPr="007D1750" w14:paraId="3646601F" w14:textId="77777777" w:rsidTr="00060DBC">
        <w:tc>
          <w:tcPr>
            <w:tcW w:w="36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A97F2BF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>6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84D32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 xml:space="preserve">"Wajib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bagi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salik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memiliki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guru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mursyid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yang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mengeluarkan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akhlak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tercela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melalui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tarbiah-nya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"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C65FC4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Peran guru </w:t>
            </w:r>
            <w:proofErr w:type="spellStart"/>
            <w:r w:rsidRPr="007D1750">
              <w:rPr>
                <w:rFonts w:ascii="Book Antiqua" w:hAnsi="Book Antiqua"/>
              </w:rPr>
              <w:t>sebagai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pembimbing</w:t>
            </w:r>
            <w:proofErr w:type="spellEnd"/>
            <w:r w:rsidRPr="007D1750">
              <w:rPr>
                <w:rFonts w:ascii="Book Antiqua" w:hAnsi="Book Antiqua"/>
              </w:rPr>
              <w:t xml:space="preserve"> moral</w:t>
            </w:r>
          </w:p>
        </w:tc>
        <w:tc>
          <w:tcPr>
            <w:tcW w:w="254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54AB8E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Nasihat</w:t>
            </w:r>
            <w:proofErr w:type="spellEnd"/>
            <w:r w:rsidRPr="007D1750">
              <w:rPr>
                <w:rFonts w:ascii="Book Antiqua" w:hAnsi="Book Antiqua"/>
              </w:rPr>
              <w:t xml:space="preserve"> 5 → Qudwah</w:t>
            </w:r>
          </w:p>
        </w:tc>
      </w:tr>
      <w:tr w:rsidR="007D1750" w:rsidRPr="007D1750" w14:paraId="4BC4337D" w14:textId="77777777" w:rsidTr="00060DBC">
        <w:tc>
          <w:tcPr>
            <w:tcW w:w="36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4E25091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>7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9399335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 xml:space="preserve">"Allah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tidak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melihat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rupamu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,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tetapi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melihat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hati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dan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niatmu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"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D12B7F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Prioritas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niat</w:t>
            </w:r>
            <w:proofErr w:type="spellEnd"/>
            <w:r w:rsidRPr="007D1750">
              <w:rPr>
                <w:rFonts w:ascii="Book Antiqua" w:hAnsi="Book Antiqua"/>
              </w:rPr>
              <w:t xml:space="preserve">; </w:t>
            </w:r>
            <w:proofErr w:type="spellStart"/>
            <w:r w:rsidRPr="007D1750">
              <w:rPr>
                <w:rFonts w:ascii="Book Antiqua" w:hAnsi="Book Antiqua"/>
              </w:rPr>
              <w:t>orientasi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batin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dalam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belajar</w:t>
            </w:r>
            <w:proofErr w:type="spellEnd"/>
          </w:p>
        </w:tc>
        <w:tc>
          <w:tcPr>
            <w:tcW w:w="254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7E9FC6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Nasihat</w:t>
            </w:r>
            <w:proofErr w:type="spellEnd"/>
            <w:r w:rsidRPr="007D1750">
              <w:rPr>
                <w:rFonts w:ascii="Book Antiqua" w:hAnsi="Book Antiqua"/>
              </w:rPr>
              <w:t xml:space="preserve"> 6 → Niyyah</w:t>
            </w:r>
          </w:p>
        </w:tc>
      </w:tr>
      <w:tr w:rsidR="007D1750" w:rsidRPr="007D1750" w14:paraId="50F7C5F4" w14:textId="77777777" w:rsidTr="00060DBC">
        <w:tc>
          <w:tcPr>
            <w:tcW w:w="36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0F823F8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lastRenderedPageBreak/>
              <w:t>8</w:t>
            </w:r>
          </w:p>
        </w:tc>
        <w:tc>
          <w:tcPr>
            <w:tcW w:w="30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A88A79B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"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Janganlah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mendebat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seseorang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dalam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suatu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masalah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jika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engkau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mampu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menghindarinya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"</w:t>
            </w:r>
          </w:p>
        </w:tc>
        <w:tc>
          <w:tcPr>
            <w:tcW w:w="21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79295DD" w14:textId="68D4D052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Adab </w:t>
            </w:r>
            <w:proofErr w:type="spellStart"/>
            <w:r w:rsidRPr="007D1750">
              <w:rPr>
                <w:rFonts w:ascii="Book Antiqua" w:hAnsi="Book Antiqua"/>
              </w:rPr>
              <w:t>dalam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diskursus</w:t>
            </w:r>
            <w:proofErr w:type="spellEnd"/>
            <w:r w:rsidR="00510EB5">
              <w:rPr>
                <w:rFonts w:ascii="Book Antiqua" w:hAnsi="Book Antiqua"/>
              </w:rPr>
              <w:t>:</w:t>
            </w:r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pengendalian</w:t>
            </w:r>
            <w:proofErr w:type="spellEnd"/>
            <w:r w:rsidRPr="007D1750">
              <w:rPr>
                <w:rFonts w:ascii="Book Antiqua" w:hAnsi="Book Antiqua"/>
              </w:rPr>
              <w:t xml:space="preserve"> ego</w:t>
            </w:r>
          </w:p>
        </w:tc>
        <w:tc>
          <w:tcPr>
            <w:tcW w:w="254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8C0DBD" w14:textId="77777777" w:rsidR="007D1750" w:rsidRPr="007D1750" w:rsidRDefault="007D1750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Nasihat</w:t>
            </w:r>
            <w:proofErr w:type="spellEnd"/>
            <w:r w:rsidRPr="007D1750">
              <w:rPr>
                <w:rFonts w:ascii="Book Antiqua" w:hAnsi="Book Antiqua"/>
              </w:rPr>
              <w:t xml:space="preserve"> 7 → Adab</w:t>
            </w:r>
          </w:p>
        </w:tc>
      </w:tr>
    </w:tbl>
    <w:p w14:paraId="4C72079E" w14:textId="60F5338E" w:rsidR="007D1750" w:rsidRDefault="007D1750" w:rsidP="007D1750">
      <w:pPr>
        <w:spacing w:before="60" w:after="100"/>
      </w:pPr>
      <w:proofErr w:type="spellStart"/>
      <w:r>
        <w:rPr>
          <w:i/>
          <w:iCs/>
        </w:rPr>
        <w:t>Sumber</w:t>
      </w:r>
      <w:proofErr w:type="spellEnd"/>
      <w:r>
        <w:rPr>
          <w:i/>
          <w:iCs/>
        </w:rPr>
        <w:t xml:space="preserve">: (Al-Ghazali, 1985/2021), </w:t>
      </w:r>
      <w:proofErr w:type="spellStart"/>
      <w:r>
        <w:rPr>
          <w:i/>
          <w:iCs/>
        </w:rPr>
        <w:t>diolah</w:t>
      </w:r>
      <w:proofErr w:type="spellEnd"/>
      <w:r>
        <w:rPr>
          <w:i/>
          <w:iCs/>
        </w:rPr>
        <w:t xml:space="preserve"> </w:t>
      </w:r>
      <w:r w:rsidR="0058001D">
        <w:rPr>
          <w:i/>
          <w:iCs/>
        </w:rPr>
        <w:t xml:space="preserve">oleh </w:t>
      </w:r>
      <w:proofErr w:type="spellStart"/>
      <w:r>
        <w:rPr>
          <w:i/>
          <w:iCs/>
        </w:rPr>
        <w:t>peneliti</w:t>
      </w:r>
      <w:proofErr w:type="spellEnd"/>
      <w:r>
        <w:rPr>
          <w:i/>
          <w:iCs/>
        </w:rPr>
        <w:t>.</w:t>
      </w:r>
    </w:p>
    <w:p w14:paraId="4D9B1A67" w14:textId="2EF4EA59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Fase 3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Pencarian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Tema): Kode-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kode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awal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dikelompokkan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berdasarkan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kemiripan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konseptual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menggunakan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teknik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affinity mapping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manual,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menghasilkan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tiga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klaster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tematik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: (a)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perilaku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konsistensi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(b)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motivasi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orientasi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belajar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(c) tata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laku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interaksi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pembelajaran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5250D1BC" w14:textId="5CCE2CEA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Fase 4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Peninjauan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Tema):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Setiap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diperiksa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kembali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keseluruhan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data. Dua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awal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, '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kesabaran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belajar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' dan '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pengelolaan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waktu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',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diputuskan</w:t>
      </w:r>
      <w:proofErr w:type="spellEnd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untuk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digabungkan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adab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karena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keduanya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merupakan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manifestasi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kerangka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sama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Al-Ghazali.</w:t>
      </w:r>
    </w:p>
    <w:p w14:paraId="018AFDDB" w14:textId="3888FC4E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Fase 5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Pendefinisian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Penamaan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Tema):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Setiap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diberi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nama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menggunakan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terminologi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agar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tetap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setia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kerangka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epistemologis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sumber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primer</w:t>
      </w:r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yaitu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qudwah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ikhlas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niyyah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), dan adab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interaksi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4C3964E5" w14:textId="18481A77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Fase 6 (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Produksi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Laporan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):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disajikan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naratif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menghubungkan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tema-tema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teridentifikasi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unit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makna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pendukungnya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serta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mengonfirmasikannya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literatur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sekunder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relevan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Tabel 2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merangkum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peta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koding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kode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awal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ke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tema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akhir</w:t>
      </w:r>
      <w:proofErr w:type="spellEnd"/>
      <w:r w:rsidRPr="007D1750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50E070B8" w14:textId="77777777" w:rsidR="007D1750" w:rsidRPr="007D1750" w:rsidRDefault="007D1750" w:rsidP="007D1750">
      <w:pPr>
        <w:spacing w:before="120" w:after="60"/>
        <w:jc w:val="center"/>
        <w:rPr>
          <w:rFonts w:ascii="Book Antiqua" w:hAnsi="Book Antiqua"/>
        </w:rPr>
      </w:pPr>
      <w:r w:rsidRPr="007D1750">
        <w:rPr>
          <w:rFonts w:ascii="Book Antiqua" w:hAnsi="Book Antiqua"/>
          <w:b/>
          <w:bCs/>
        </w:rPr>
        <w:t>Tabel 2</w:t>
      </w:r>
    </w:p>
    <w:p w14:paraId="4D512BBE" w14:textId="77777777" w:rsidR="007D1750" w:rsidRPr="007D1750" w:rsidRDefault="007D1750" w:rsidP="007D1750">
      <w:pPr>
        <w:spacing w:after="100"/>
        <w:jc w:val="center"/>
        <w:rPr>
          <w:rFonts w:ascii="Book Antiqua" w:hAnsi="Book Antiqua"/>
        </w:rPr>
      </w:pPr>
      <w:r w:rsidRPr="007D1750">
        <w:rPr>
          <w:rFonts w:ascii="Book Antiqua" w:hAnsi="Book Antiqua"/>
          <w:i/>
          <w:iCs/>
        </w:rPr>
        <w:t xml:space="preserve">Peta </w:t>
      </w:r>
      <w:proofErr w:type="spellStart"/>
      <w:r w:rsidRPr="007D1750">
        <w:rPr>
          <w:rFonts w:ascii="Book Antiqua" w:hAnsi="Book Antiqua"/>
          <w:i/>
          <w:iCs/>
        </w:rPr>
        <w:t>Koding</w:t>
      </w:r>
      <w:proofErr w:type="spellEnd"/>
      <w:r w:rsidRPr="007D1750">
        <w:rPr>
          <w:rFonts w:ascii="Book Antiqua" w:hAnsi="Book Antiqua"/>
          <w:i/>
          <w:iCs/>
        </w:rPr>
        <w:t xml:space="preserve">: Dari Kode Awal </w:t>
      </w:r>
      <w:proofErr w:type="spellStart"/>
      <w:r w:rsidRPr="007D1750">
        <w:rPr>
          <w:rFonts w:ascii="Book Antiqua" w:hAnsi="Book Antiqua"/>
          <w:i/>
          <w:iCs/>
        </w:rPr>
        <w:t>ke</w:t>
      </w:r>
      <w:proofErr w:type="spellEnd"/>
      <w:r w:rsidRPr="007D1750">
        <w:rPr>
          <w:rFonts w:ascii="Book Antiqua" w:hAnsi="Book Antiqua"/>
          <w:i/>
          <w:iCs/>
        </w:rPr>
        <w:t xml:space="preserve"> Tema Akhir</w:t>
      </w:r>
    </w:p>
    <w:tbl>
      <w:tblPr>
        <w:tblW w:w="8000" w:type="dxa"/>
        <w:tblBorders>
          <w:top w:val="single" w:sz="4" w:space="0" w:color="2E4057"/>
          <w:bottom w:val="single" w:sz="4" w:space="0" w:color="2E4057"/>
          <w:insideH w:val="single" w:sz="4" w:space="0" w:color="2E4057"/>
          <w:insideV w:val="single" w:sz="4" w:space="0" w:color="2E405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0"/>
        <w:gridCol w:w="2700"/>
        <w:gridCol w:w="2700"/>
      </w:tblGrid>
      <w:tr w:rsidR="007D1750" w:rsidRPr="007D1750" w14:paraId="6BC03BBC" w14:textId="77777777" w:rsidTr="0058001D">
        <w:tc>
          <w:tcPr>
            <w:tcW w:w="2600" w:type="dxa"/>
            <w:tcBorders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E07FD41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b/>
                <w:bCs/>
                <w:color w:val="FFFFFF"/>
              </w:rPr>
              <w:t>Kode Awal</w:t>
            </w:r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38B694C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b/>
                <w:bCs/>
                <w:color w:val="FFFFFF"/>
              </w:rPr>
              <w:t xml:space="preserve">Tema </w:t>
            </w:r>
            <w:proofErr w:type="spellStart"/>
            <w:r w:rsidRPr="007D1750">
              <w:rPr>
                <w:rFonts w:ascii="Book Antiqua" w:hAnsi="Book Antiqua"/>
                <w:b/>
                <w:bCs/>
                <w:color w:val="FFFFFF"/>
              </w:rPr>
              <w:t>Kandidat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6537BC7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b/>
                <w:bCs/>
                <w:color w:val="FFFFFF"/>
              </w:rPr>
              <w:t>Tema Akhir</w:t>
            </w:r>
          </w:p>
        </w:tc>
      </w:tr>
      <w:tr w:rsidR="007D1750" w:rsidRPr="007D1750" w14:paraId="374F4DBD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8C08F36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Kesatuan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ilmu-amal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E42E475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Konsistensi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pendidik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7432E2E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  <w:i/>
                <w:iCs/>
              </w:rPr>
              <w:t>Keteladanan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(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qudwah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)</w:t>
            </w:r>
          </w:p>
        </w:tc>
      </w:tr>
      <w:tr w:rsidR="007D1750" w:rsidRPr="007D1750" w14:paraId="66C6479D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86619E2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Peran </w:t>
            </w:r>
            <w:proofErr w:type="spellStart"/>
            <w:r w:rsidRPr="007D1750">
              <w:rPr>
                <w:rFonts w:ascii="Book Antiqua" w:hAnsi="Book Antiqua"/>
              </w:rPr>
              <w:t>teladan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pendidik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FFBE537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Konsistensi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pendidik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D956164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  <w:i/>
                <w:iCs/>
              </w:rPr>
              <w:t>Keteladanan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(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qudwah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)</w:t>
            </w:r>
          </w:p>
        </w:tc>
      </w:tr>
      <w:tr w:rsidR="007D1750" w:rsidRPr="007D1750" w14:paraId="5FB97860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FB64FD7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Ilmu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transformatif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21C3F8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Konsistensi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pendidik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A67EB44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  <w:i/>
                <w:iCs/>
              </w:rPr>
              <w:t>Keteladanan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(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qudwah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)</w:t>
            </w:r>
          </w:p>
        </w:tc>
      </w:tr>
      <w:tr w:rsidR="007D1750" w:rsidRPr="007D1750" w14:paraId="7F70F93C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94BF18F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Peran guru </w:t>
            </w:r>
            <w:proofErr w:type="spellStart"/>
            <w:r w:rsidRPr="007D1750">
              <w:rPr>
                <w:rFonts w:ascii="Book Antiqua" w:hAnsi="Book Antiqua"/>
              </w:rPr>
              <w:t>sebagai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mursyid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7EF05D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Konsistensi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pendidik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DD7EB77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  <w:i/>
                <w:iCs/>
              </w:rPr>
              <w:t>Keteladanan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(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qudwah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)</w:t>
            </w:r>
          </w:p>
        </w:tc>
      </w:tr>
      <w:tr w:rsidR="007D1750" w:rsidRPr="007D1750" w14:paraId="70E028F6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C167E2A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Orientasi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niat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belajar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5F2E566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Motivasi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belajar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2577996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  <w:i/>
                <w:iCs/>
              </w:rPr>
              <w:t>Niat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Ikhlas (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niyyah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)</w:t>
            </w:r>
          </w:p>
        </w:tc>
      </w:tr>
      <w:tr w:rsidR="007D1750" w:rsidRPr="007D1750" w14:paraId="4F5D5703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2904B6C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Bahaya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motivasi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duniawi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4AA47EC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Motivasi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belajar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39612D6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  <w:i/>
                <w:iCs/>
              </w:rPr>
              <w:t>Niat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Ikhlas (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niyyah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)</w:t>
            </w:r>
          </w:p>
        </w:tc>
      </w:tr>
      <w:tr w:rsidR="007D1750" w:rsidRPr="007D1750" w14:paraId="6AB901CA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ADFDB91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Prioritas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niat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dalam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belajar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8F71C7A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Motivasi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belajar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B0C1CC9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  <w:i/>
                <w:iCs/>
              </w:rPr>
              <w:t>Niat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 xml:space="preserve"> Ikhlas (</w:t>
            </w:r>
            <w:proofErr w:type="spellStart"/>
            <w:r w:rsidRPr="007D1750">
              <w:rPr>
                <w:rFonts w:ascii="Book Antiqua" w:hAnsi="Book Antiqua"/>
                <w:i/>
                <w:iCs/>
              </w:rPr>
              <w:t>niyyah</w:t>
            </w:r>
            <w:proofErr w:type="spellEnd"/>
            <w:r w:rsidRPr="007D1750">
              <w:rPr>
                <w:rFonts w:ascii="Book Antiqua" w:hAnsi="Book Antiqua"/>
                <w:i/>
                <w:iCs/>
              </w:rPr>
              <w:t>)</w:t>
            </w:r>
          </w:p>
        </w:tc>
      </w:tr>
      <w:tr w:rsidR="007D1750" w:rsidRPr="007D1750" w14:paraId="4AC6319E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6869A1E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Adab </w:t>
            </w:r>
            <w:proofErr w:type="spellStart"/>
            <w:r w:rsidRPr="007D1750">
              <w:rPr>
                <w:rFonts w:ascii="Book Antiqua" w:hAnsi="Book Antiqua"/>
              </w:rPr>
              <w:t>terhadap</w:t>
            </w:r>
            <w:proofErr w:type="spellEnd"/>
            <w:r w:rsidRPr="007D1750">
              <w:rPr>
                <w:rFonts w:ascii="Book Antiqua" w:hAnsi="Book Antiqua"/>
              </w:rPr>
              <w:t xml:space="preserve"> guru</w:t>
            </w:r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4D354C8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Tata </w:t>
            </w:r>
            <w:proofErr w:type="spellStart"/>
            <w:r w:rsidRPr="007D1750">
              <w:rPr>
                <w:rFonts w:ascii="Book Antiqua" w:hAnsi="Book Antiqua"/>
              </w:rPr>
              <w:t>laku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relasional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683501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Adab Pedagogis</w:t>
            </w:r>
          </w:p>
        </w:tc>
      </w:tr>
      <w:tr w:rsidR="007D1750" w:rsidRPr="007D1750" w14:paraId="2E3C7967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06A5477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Kepekaan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relasional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A371971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Tata </w:t>
            </w:r>
            <w:proofErr w:type="spellStart"/>
            <w:r w:rsidRPr="007D1750">
              <w:rPr>
                <w:rFonts w:ascii="Book Antiqua" w:hAnsi="Book Antiqua"/>
              </w:rPr>
              <w:t>laku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relasional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D7F771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Adab Pedagogis</w:t>
            </w:r>
          </w:p>
        </w:tc>
      </w:tr>
      <w:tr w:rsidR="007D1750" w:rsidRPr="007D1750" w14:paraId="6756F02D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0A259B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Adab </w:t>
            </w:r>
            <w:proofErr w:type="spellStart"/>
            <w:r w:rsidRPr="007D1750">
              <w:rPr>
                <w:rFonts w:ascii="Book Antiqua" w:hAnsi="Book Antiqua"/>
              </w:rPr>
              <w:t>dalam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diskursus</w:t>
            </w:r>
            <w:proofErr w:type="spellEnd"/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D518632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Tata </w:t>
            </w:r>
            <w:proofErr w:type="spellStart"/>
            <w:r w:rsidRPr="007D1750">
              <w:rPr>
                <w:rFonts w:ascii="Book Antiqua" w:hAnsi="Book Antiqua"/>
              </w:rPr>
              <w:t>laku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relasional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B9612AB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Adab Pedagogis</w:t>
            </w:r>
          </w:p>
        </w:tc>
      </w:tr>
      <w:tr w:rsidR="007D1750" w:rsidRPr="007D1750" w14:paraId="34D86B1F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48E82F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Pengendalian</w:t>
            </w:r>
            <w:proofErr w:type="spellEnd"/>
            <w:r w:rsidRPr="007D1750">
              <w:rPr>
                <w:rFonts w:ascii="Book Antiqua" w:hAnsi="Book Antiqua"/>
              </w:rPr>
              <w:t xml:space="preserve"> ego</w:t>
            </w:r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10013E3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</w:rPr>
              <w:t xml:space="preserve">Tata </w:t>
            </w:r>
            <w:proofErr w:type="spellStart"/>
            <w:r w:rsidRPr="007D1750">
              <w:rPr>
                <w:rFonts w:ascii="Book Antiqua" w:hAnsi="Book Antiqua"/>
              </w:rPr>
              <w:t>laku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relasional</w:t>
            </w:r>
            <w:proofErr w:type="spellEnd"/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B07C9E0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Adab Pedagogis</w:t>
            </w:r>
          </w:p>
        </w:tc>
      </w:tr>
      <w:tr w:rsidR="007D1750" w:rsidRPr="007D1750" w14:paraId="61D7B761" w14:textId="77777777" w:rsidTr="0058001D">
        <w:tc>
          <w:tcPr>
            <w:tcW w:w="2600" w:type="dxa"/>
            <w:tcBorders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D924872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Kesabaran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belajar</w:t>
            </w:r>
            <w:proofErr w:type="spellEnd"/>
            <w:r w:rsidRPr="007D1750">
              <w:rPr>
                <w:rFonts w:ascii="Book Antiqua" w:hAnsi="Book Antiqua"/>
              </w:rPr>
              <w:t>*</w:t>
            </w:r>
          </w:p>
        </w:tc>
        <w:tc>
          <w:tcPr>
            <w:tcW w:w="27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FF2227F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proofErr w:type="spellStart"/>
            <w:r w:rsidRPr="007D1750">
              <w:rPr>
                <w:rFonts w:ascii="Book Antiqua" w:hAnsi="Book Antiqua"/>
              </w:rPr>
              <w:t>Digabung</w:t>
            </w:r>
            <w:proofErr w:type="spellEnd"/>
            <w:r w:rsidRPr="007D1750">
              <w:rPr>
                <w:rFonts w:ascii="Book Antiqua" w:hAnsi="Book Antiqua"/>
              </w:rPr>
              <w:t xml:space="preserve"> </w:t>
            </w:r>
            <w:proofErr w:type="spellStart"/>
            <w:r w:rsidRPr="007D1750">
              <w:rPr>
                <w:rFonts w:ascii="Book Antiqua" w:hAnsi="Book Antiqua"/>
              </w:rPr>
              <w:t>ke</w:t>
            </w:r>
            <w:proofErr w:type="spellEnd"/>
            <w:r w:rsidRPr="007D1750">
              <w:rPr>
                <w:rFonts w:ascii="Book Antiqua" w:hAnsi="Book Antiqua"/>
              </w:rPr>
              <w:t xml:space="preserve"> adab (Fase 4)</w:t>
            </w:r>
          </w:p>
        </w:tc>
        <w:tc>
          <w:tcPr>
            <w:tcW w:w="2700" w:type="dxa"/>
            <w:tcBorders>
              <w:lef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2216F7" w14:textId="77777777" w:rsidR="007D1750" w:rsidRPr="007D1750" w:rsidRDefault="007D1750" w:rsidP="003A09F1">
            <w:pPr>
              <w:rPr>
                <w:rFonts w:ascii="Book Antiqua" w:hAnsi="Book Antiqua"/>
              </w:rPr>
            </w:pPr>
            <w:r w:rsidRPr="007D1750">
              <w:rPr>
                <w:rFonts w:ascii="Book Antiqua" w:hAnsi="Book Antiqua"/>
                <w:i/>
                <w:iCs/>
              </w:rPr>
              <w:t>Adab Pedagogis</w:t>
            </w:r>
          </w:p>
        </w:tc>
      </w:tr>
    </w:tbl>
    <w:p w14:paraId="2BA2E02D" w14:textId="1864BADB" w:rsidR="007D1750" w:rsidRPr="007D1750" w:rsidRDefault="007D1750" w:rsidP="007D1750">
      <w:pPr>
        <w:spacing w:before="60" w:after="100"/>
        <w:rPr>
          <w:rFonts w:ascii="Book Antiqua" w:hAnsi="Book Antiqua"/>
        </w:rPr>
      </w:pPr>
      <w:proofErr w:type="spellStart"/>
      <w:r w:rsidRPr="007D1750">
        <w:rPr>
          <w:rFonts w:ascii="Book Antiqua" w:hAnsi="Book Antiqua"/>
          <w:i/>
          <w:iCs/>
        </w:rPr>
        <w:t>Sumber</w:t>
      </w:r>
      <w:proofErr w:type="spellEnd"/>
      <w:r w:rsidRPr="007D1750">
        <w:rPr>
          <w:rFonts w:ascii="Book Antiqua" w:hAnsi="Book Antiqua"/>
          <w:i/>
          <w:iCs/>
        </w:rPr>
        <w:t xml:space="preserve">: </w:t>
      </w:r>
      <w:proofErr w:type="spellStart"/>
      <w:r w:rsidRPr="007D1750">
        <w:rPr>
          <w:rFonts w:ascii="Book Antiqua" w:hAnsi="Book Antiqua"/>
          <w:i/>
          <w:iCs/>
        </w:rPr>
        <w:t>diolah</w:t>
      </w:r>
      <w:proofErr w:type="spellEnd"/>
      <w:r w:rsidRPr="007D1750">
        <w:rPr>
          <w:rFonts w:ascii="Book Antiqua" w:hAnsi="Book Antiqua"/>
          <w:i/>
          <w:iCs/>
        </w:rPr>
        <w:t xml:space="preserve"> </w:t>
      </w:r>
      <w:r>
        <w:rPr>
          <w:rFonts w:ascii="Book Antiqua" w:hAnsi="Book Antiqua"/>
          <w:i/>
          <w:iCs/>
        </w:rPr>
        <w:t xml:space="preserve">oleh </w:t>
      </w:r>
      <w:proofErr w:type="spellStart"/>
      <w:r w:rsidRPr="007D1750">
        <w:rPr>
          <w:rFonts w:ascii="Book Antiqua" w:hAnsi="Book Antiqua"/>
          <w:i/>
          <w:iCs/>
        </w:rPr>
        <w:t>peneliti</w:t>
      </w:r>
      <w:proofErr w:type="spellEnd"/>
      <w:r w:rsidRPr="007D1750">
        <w:rPr>
          <w:rFonts w:ascii="Book Antiqua" w:hAnsi="Book Antiqua"/>
          <w:i/>
          <w:iCs/>
        </w:rPr>
        <w:t xml:space="preserve">. *Tema yang </w:t>
      </w:r>
      <w:proofErr w:type="spellStart"/>
      <w:r w:rsidRPr="007D1750">
        <w:rPr>
          <w:rFonts w:ascii="Book Antiqua" w:hAnsi="Book Antiqua"/>
          <w:i/>
          <w:iCs/>
        </w:rPr>
        <w:t>digabungkan</w:t>
      </w:r>
      <w:proofErr w:type="spellEnd"/>
      <w:r w:rsidRPr="007D1750">
        <w:rPr>
          <w:rFonts w:ascii="Book Antiqua" w:hAnsi="Book Antiqua"/>
          <w:i/>
          <w:iCs/>
        </w:rPr>
        <w:t xml:space="preserve"> pada Fase 4.</w:t>
      </w:r>
    </w:p>
    <w:p w14:paraId="312AEFAA" w14:textId="77777777" w:rsidR="003F7660" w:rsidRDefault="003F7660" w:rsidP="007D1750">
      <w:pPr>
        <w:spacing w:before="160" w:after="80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4303F5DD" w14:textId="77777777" w:rsidR="003F7660" w:rsidRDefault="003F7660" w:rsidP="007D1750">
      <w:pPr>
        <w:spacing w:before="160" w:after="80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227EF352" w14:textId="57390F11" w:rsidR="007D1750" w:rsidRPr="007D1750" w:rsidRDefault="007D1750" w:rsidP="007D1750">
      <w:pPr>
        <w:spacing w:before="160" w:after="80"/>
        <w:rPr>
          <w:rFonts w:ascii="Book Antiqua" w:hAnsi="Book Antiqua"/>
          <w:sz w:val="22"/>
          <w:szCs w:val="22"/>
        </w:rPr>
      </w:pPr>
      <w:r w:rsidRPr="007D1750">
        <w:rPr>
          <w:rFonts w:ascii="Book Antiqua" w:hAnsi="Book Antiqua"/>
          <w:b/>
          <w:bCs/>
          <w:i/>
          <w:iCs/>
          <w:sz w:val="22"/>
          <w:szCs w:val="22"/>
        </w:rPr>
        <w:lastRenderedPageBreak/>
        <w:t>Strategi Keabsahan Data</w:t>
      </w:r>
    </w:p>
    <w:p w14:paraId="6E96DB9B" w14:textId="4FF272C7" w:rsidR="00F440A9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Untuk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menjaga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keabsahan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data,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penelitian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ini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menggunakan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r w:rsidR="00510EB5">
        <w:rPr>
          <w:rFonts w:ascii="Book Antiqua" w:hAnsi="Book Antiqua"/>
          <w:color w:val="000000"/>
          <w:sz w:val="22"/>
          <w:szCs w:val="22"/>
        </w:rPr>
        <w:t>4</w:t>
      </w:r>
      <w:r w:rsidRPr="007D1750">
        <w:rPr>
          <w:rFonts w:ascii="Book Antiqua" w:hAnsi="Book Antiqua"/>
          <w:color w:val="000000"/>
          <w:sz w:val="22"/>
          <w:szCs w:val="22"/>
        </w:rPr>
        <w:t xml:space="preserve"> strategi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validitas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kualitatif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Pertama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triangulasi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sumber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temuan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dari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primer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dibandingkan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berbagai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literatur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ilmiah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kontemporer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relevan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Kedua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, member checking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konseptual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kesesuaian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definisi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setiap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tema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konsep-konsep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mapan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kajian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pemikiran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Al-Ghazali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diperiksa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(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Indana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&amp; Mustofa, 2024; Sabariah et al., 2024).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Ketiga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refleksivitas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peneliti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menerapkan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kesadaran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kritis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terhadap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kemungkinan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subjektivitas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interpretasi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teks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Keempat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, audit trail: proses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analisis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didokumentasikan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secara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sistematis</w:t>
      </w:r>
      <w:proofErr w:type="spellEnd"/>
      <w:r w:rsidR="0058001D">
        <w:rPr>
          <w:rFonts w:ascii="Book Antiqua" w:hAnsi="Book Antiqua"/>
          <w:color w:val="000000"/>
          <w:sz w:val="22"/>
          <w:szCs w:val="22"/>
        </w:rPr>
        <w:t>,</w:t>
      </w:r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termasuk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keputusan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penggabungan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tema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>,</w:t>
      </w:r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sehingga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dapat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ditelusuri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7D1750">
        <w:rPr>
          <w:rFonts w:ascii="Book Antiqua" w:hAnsi="Book Antiqua"/>
          <w:color w:val="000000"/>
          <w:sz w:val="22"/>
          <w:szCs w:val="22"/>
        </w:rPr>
        <w:t>kembali</w:t>
      </w:r>
      <w:proofErr w:type="spellEnd"/>
      <w:r w:rsidRPr="007D1750">
        <w:rPr>
          <w:rFonts w:ascii="Book Antiqua" w:hAnsi="Book Antiqua"/>
          <w:color w:val="000000"/>
          <w:sz w:val="22"/>
          <w:szCs w:val="22"/>
        </w:rPr>
        <w:t xml:space="preserve"> (Merriam &amp; Tisdell, 2016).</w:t>
      </w:r>
    </w:p>
    <w:p w14:paraId="1497A5B2" w14:textId="77777777" w:rsidR="007D1750" w:rsidRPr="007D1750" w:rsidRDefault="007D1750" w:rsidP="007D1750">
      <w:pPr>
        <w:spacing w:line="276" w:lineRule="auto"/>
        <w:ind w:firstLine="567"/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64FF4D42" w14:textId="4F246451" w:rsidR="00F440A9" w:rsidRDefault="009721F8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HASIL PENELITIAN DAN PEMBAHASAN</w:t>
      </w:r>
    </w:p>
    <w:p w14:paraId="3143CEF2" w14:textId="2CB948B9" w:rsidR="00F440A9" w:rsidRDefault="0031098B" w:rsidP="00FD2025">
      <w:pPr>
        <w:spacing w:line="276" w:lineRule="auto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H</w:t>
      </w:r>
      <w:r w:rsidR="00C86D8E">
        <w:rPr>
          <w:rFonts w:ascii="Book Antiqua" w:eastAsia="Book Antiqua" w:hAnsi="Book Antiqua" w:cs="Book Antiqua"/>
          <w:b/>
          <w:sz w:val="22"/>
          <w:szCs w:val="22"/>
        </w:rPr>
        <w:t>ASIL</w:t>
      </w:r>
    </w:p>
    <w:p w14:paraId="1B5D89A5" w14:textId="77777777" w:rsidR="0058001D" w:rsidRPr="0058001D" w:rsidRDefault="00962646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2"/>
          <w:szCs w:val="22"/>
        </w:rPr>
        <w:tab/>
      </w:r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Hasil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analisis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isi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tematik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terhadap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keseluruhan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dua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belas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Ayyuhal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Walad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mengidentifikasi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tiga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tema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utama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membentuk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konstruksi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relasi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etis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perspektif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Al-Ghazali: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keteladanan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pendidik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(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qudwah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),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orientasi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niat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ikhlas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(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niyyah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), dan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peneguhan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adab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proses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pembelajaran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Ketiga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tema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ini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muncul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secara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konsisten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di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seluruh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Al-Ghazali,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menunjukkan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bahwa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ketiganya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merupakan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kerangka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pedagogis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="0058001D" w:rsidRPr="0058001D">
        <w:rPr>
          <w:rFonts w:ascii="Book Antiqua" w:hAnsi="Book Antiqua"/>
          <w:color w:val="000000"/>
          <w:sz w:val="22"/>
          <w:szCs w:val="22"/>
        </w:rPr>
        <w:t>terintegrasi</w:t>
      </w:r>
      <w:proofErr w:type="spellEnd"/>
      <w:r w:rsidR="0058001D" w:rsidRPr="0058001D">
        <w:rPr>
          <w:rFonts w:ascii="Book Antiqua" w:hAnsi="Book Antiqua"/>
          <w:color w:val="000000"/>
          <w:sz w:val="22"/>
          <w:szCs w:val="22"/>
        </w:rPr>
        <w:t>.</w:t>
      </w:r>
    </w:p>
    <w:p w14:paraId="6E76417A" w14:textId="77777777" w:rsidR="0058001D" w:rsidRPr="0058001D" w:rsidRDefault="0058001D" w:rsidP="0058001D">
      <w:pPr>
        <w:spacing w:before="160" w:after="80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Keteladanan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Sebagai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Dasar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Relasi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Pendidikan</w:t>
      </w:r>
    </w:p>
    <w:p w14:paraId="49BACA8C" w14:textId="076CEF79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color w:val="000000"/>
          <w:sz w:val="22"/>
          <w:szCs w:val="22"/>
        </w:rPr>
        <w:t xml:space="preserve">Dari 27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kode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awal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diidentifikasi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delapan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kode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berkaitan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tema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keteladanan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muncul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pada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pertama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ketiga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dan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kelima</w:t>
      </w:r>
      <w:proofErr w:type="spellEnd"/>
      <w:r w:rsidR="00510EB5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teks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Ayyuhal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Walad.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pertama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Al-Ghazali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menyatakan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>:</w:t>
      </w:r>
    </w:p>
    <w:p w14:paraId="1DF945FC" w14:textId="77777777" w:rsidR="0058001D" w:rsidRPr="0058001D" w:rsidRDefault="0058001D" w:rsidP="0058001D">
      <w:pPr>
        <w:spacing w:before="80" w:after="40"/>
        <w:jc w:val="center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eastAsia="Traditional Arabic"/>
          <w:sz w:val="22"/>
          <w:szCs w:val="22"/>
        </w:rPr>
        <w:t>اَلْعِلْمُ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بِلاَ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عَمَلٍ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جُنُوْنٌ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وَاْلعَمَلُ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بِلاَ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عِلْمٍ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لاَ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يَكُوْنُ</w:t>
      </w:r>
      <w:proofErr w:type="spellEnd"/>
    </w:p>
    <w:p w14:paraId="7EFEA850" w14:textId="77777777" w:rsidR="0058001D" w:rsidRPr="0058001D" w:rsidRDefault="0058001D" w:rsidP="0058001D">
      <w:pPr>
        <w:spacing w:before="40" w:after="100"/>
        <w:jc w:val="center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i/>
          <w:iCs/>
          <w:sz w:val="22"/>
          <w:szCs w:val="22"/>
        </w:rPr>
        <w:t>"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Ilmu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tanpa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amal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adalah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gila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, dan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amal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tanpa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ilmu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akan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berarti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>." (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1)</w:t>
      </w:r>
    </w:p>
    <w:p w14:paraId="0A8C081E" w14:textId="7777777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Kutipan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pendidik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cukup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berperan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sebagai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penyampai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pengetahuan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melainkan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harus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menjadi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contoh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hidup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dari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ilmu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diajarkan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ketiga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Al-Ghazali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mempertegas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>:</w:t>
      </w:r>
    </w:p>
    <w:p w14:paraId="39200E89" w14:textId="77777777" w:rsidR="0058001D" w:rsidRPr="0058001D" w:rsidRDefault="0058001D" w:rsidP="0058001D">
      <w:pPr>
        <w:spacing w:before="80" w:after="40"/>
        <w:jc w:val="center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eastAsia="Traditional Arabic"/>
          <w:sz w:val="22"/>
          <w:szCs w:val="22"/>
        </w:rPr>
        <w:t>اِعْلَمْ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أَنَّ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الْعِلْمَ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الَّذِي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لاَ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يُبَاعِدُكَ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عَنِ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الْمَعَاصِي</w:t>
      </w:r>
      <w:proofErr w:type="spellEnd"/>
    </w:p>
    <w:p w14:paraId="1DDA7AFC" w14:textId="77777777" w:rsidR="0058001D" w:rsidRPr="0058001D" w:rsidRDefault="0058001D" w:rsidP="0058001D">
      <w:pPr>
        <w:spacing w:before="40" w:after="100"/>
        <w:jc w:val="center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i/>
          <w:iCs/>
          <w:sz w:val="22"/>
          <w:szCs w:val="22"/>
        </w:rPr>
        <w:t>"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Ketahuilah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bahwa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ilmu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menjauhkanmu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dari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maksiat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besok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di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hari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kiamat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akan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menjauhkanmu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dari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neraka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>." (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3)</w:t>
      </w:r>
    </w:p>
    <w:p w14:paraId="61ACC786" w14:textId="7777777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color w:val="000000"/>
          <w:sz w:val="22"/>
          <w:szCs w:val="22"/>
        </w:rPr>
        <w:t xml:space="preserve">Yang paling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konkret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muncul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kelima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di mana Al-Ghazali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menyatakan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seorang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murid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wajib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memiliki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guru yang:</w:t>
      </w:r>
    </w:p>
    <w:p w14:paraId="3C6F3F70" w14:textId="77777777" w:rsidR="0058001D" w:rsidRPr="0058001D" w:rsidRDefault="0058001D" w:rsidP="0058001D">
      <w:pPr>
        <w:spacing w:before="80" w:after="40"/>
        <w:jc w:val="center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eastAsia="Traditional Arabic"/>
          <w:sz w:val="22"/>
          <w:szCs w:val="22"/>
        </w:rPr>
        <w:t>مُرْشِدٌ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مُرَبٍّ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يُخْرِجُ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أَخْلاَقَ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الذَّمِيمَةَ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بِتَرْبِيَتِهِ</w:t>
      </w:r>
      <w:proofErr w:type="spellEnd"/>
    </w:p>
    <w:p w14:paraId="12E18AC6" w14:textId="77777777" w:rsidR="0058001D" w:rsidRPr="0058001D" w:rsidRDefault="0058001D" w:rsidP="0058001D">
      <w:pPr>
        <w:spacing w:before="40" w:after="100"/>
        <w:jc w:val="center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i/>
          <w:iCs/>
          <w:sz w:val="22"/>
          <w:szCs w:val="22"/>
        </w:rPr>
        <w:t>"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Mursyid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pendidik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mengeluarkan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akhlak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tercela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(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muridnya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)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melalui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tarbiah-nya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>." (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5)</w:t>
      </w:r>
    </w:p>
    <w:p w14:paraId="719594A9" w14:textId="7777777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demikian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keteladanan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merupakan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mekanisme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utama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internalisasi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nilai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: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belajar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melalui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pengamatan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terhadap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perilaku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pendidik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konsisten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antara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ucapan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tindakan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>.</w:t>
      </w:r>
    </w:p>
    <w:p w14:paraId="12750338" w14:textId="77777777" w:rsidR="0058001D" w:rsidRPr="0058001D" w:rsidRDefault="0058001D" w:rsidP="0058001D">
      <w:pPr>
        <w:spacing w:before="160" w:after="80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Niat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Ikhlas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Sebagai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Orientasi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Etis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Pembelajaran</w:t>
      </w:r>
      <w:proofErr w:type="spellEnd"/>
    </w:p>
    <w:p w14:paraId="2E093D82" w14:textId="7777777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color w:val="000000"/>
          <w:sz w:val="22"/>
          <w:szCs w:val="22"/>
        </w:rPr>
        <w:t xml:space="preserve">Dua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belas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kode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dari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27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kode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awal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berkaitan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tema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niat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tersebar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di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kedua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ketiga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dan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keenam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kedua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Al-Ghazali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menyatakan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>:</w:t>
      </w:r>
    </w:p>
    <w:p w14:paraId="3389669D" w14:textId="77777777" w:rsidR="0058001D" w:rsidRPr="0058001D" w:rsidRDefault="0058001D" w:rsidP="0058001D">
      <w:pPr>
        <w:spacing w:before="80" w:after="40"/>
        <w:jc w:val="center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eastAsia="Traditional Arabic"/>
          <w:sz w:val="22"/>
          <w:szCs w:val="22"/>
        </w:rPr>
        <w:lastRenderedPageBreak/>
        <w:t>إِنْ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كَانَ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قَصْدُكَ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مِنَ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الْعِلْمِ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الدُّنْيَا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فَقَدْ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خَسِرْتَ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نَفْسَكَ</w:t>
      </w:r>
      <w:proofErr w:type="spellEnd"/>
    </w:p>
    <w:p w14:paraId="39326C54" w14:textId="77777777" w:rsidR="0058001D" w:rsidRPr="0058001D" w:rsidRDefault="0058001D" w:rsidP="0058001D">
      <w:pPr>
        <w:spacing w:before="40" w:after="100"/>
        <w:jc w:val="center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i/>
          <w:iCs/>
          <w:sz w:val="22"/>
          <w:szCs w:val="22"/>
        </w:rPr>
        <w:t xml:space="preserve">"Jika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tujuanmu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menuntut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ilmu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adalah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untuk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kepentingan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dunia,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maka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engkau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telah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merugikan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dirimu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sendiri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>." (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2)</w:t>
      </w:r>
    </w:p>
    <w:p w14:paraId="5E729D71" w14:textId="439ACF8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color w:val="000000"/>
          <w:sz w:val="22"/>
          <w:szCs w:val="22"/>
        </w:rPr>
        <w:t xml:space="preserve">Al-Ghazali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menegaskan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menuntut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ilmu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demi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pangkat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harta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atau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pengakuan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sosial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bukan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hanya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bernilai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tetapi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r w:rsidR="003F7660">
        <w:rPr>
          <w:rFonts w:ascii="Book Antiqua" w:hAnsi="Book Antiqua"/>
          <w:color w:val="000000"/>
          <w:sz w:val="22"/>
          <w:szCs w:val="22"/>
        </w:rPr>
        <w:t xml:space="preserve">juga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berbahaya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keenam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Al-Ghazali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memperkuat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hal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merujuk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pada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hadis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Nabi:</w:t>
      </w:r>
    </w:p>
    <w:p w14:paraId="6E0EEA77" w14:textId="77777777" w:rsidR="0058001D" w:rsidRPr="0058001D" w:rsidRDefault="0058001D" w:rsidP="0058001D">
      <w:pPr>
        <w:spacing w:before="80" w:after="40"/>
        <w:jc w:val="center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eastAsia="Traditional Arabic"/>
          <w:sz w:val="22"/>
          <w:szCs w:val="22"/>
        </w:rPr>
        <w:t>إِنَّ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اللهَ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لاَ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يَنْظُرُ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إِلَى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صُوَرِكُمْ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وَأَعْمَالِكُمْ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وَلَكِنْ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يَنْظُرُ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إِلَى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قُلُوبِكُمْ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وَنِيَّاتِكُمْ</w:t>
      </w:r>
      <w:proofErr w:type="spellEnd"/>
    </w:p>
    <w:p w14:paraId="4D45BF15" w14:textId="77777777" w:rsidR="0058001D" w:rsidRPr="0058001D" w:rsidRDefault="0058001D" w:rsidP="0058001D">
      <w:pPr>
        <w:spacing w:before="40" w:after="100"/>
        <w:jc w:val="center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i/>
          <w:iCs/>
          <w:sz w:val="22"/>
          <w:szCs w:val="22"/>
        </w:rPr>
        <w:t>"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Sesungguhnya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Allah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melihat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pada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rupamu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amal-amalmu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tetapi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Allah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melihat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pada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hati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niatmu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>." (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6)</w:t>
      </w:r>
    </w:p>
    <w:p w14:paraId="07C0592E" w14:textId="7777777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konteks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pedagogis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niat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berfungsi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sebagai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pengendali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moral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menjaga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proses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pembelajaran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tetap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berada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kerangka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. Pendidikan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kehilangan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orientasi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niat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berpotensi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tereduksi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menjadi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aktivitas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instrumental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hanya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berorientasi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pada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capaian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simbolik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>.</w:t>
      </w:r>
    </w:p>
    <w:p w14:paraId="7929F74D" w14:textId="77777777" w:rsidR="0058001D" w:rsidRPr="0058001D" w:rsidRDefault="0058001D" w:rsidP="0058001D">
      <w:pPr>
        <w:spacing w:before="160" w:after="80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Adab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Sebagai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Manifestasi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Relasi</w:t>
      </w:r>
      <w:proofErr w:type="spellEnd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b/>
          <w:bCs/>
          <w:i/>
          <w:iCs/>
          <w:sz w:val="22"/>
          <w:szCs w:val="22"/>
        </w:rPr>
        <w:t>Etis</w:t>
      </w:r>
      <w:proofErr w:type="spellEnd"/>
    </w:p>
    <w:p w14:paraId="5A012AA6" w14:textId="7777777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Tujuh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kode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dari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27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kode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awal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berkaitan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tema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adab, paling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banyak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muncul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keempat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ketujuh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keempat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Al-Ghazali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menyebutkan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berbagai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adab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terhadap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pendidiknya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>:</w:t>
      </w:r>
    </w:p>
    <w:p w14:paraId="79CE0EDF" w14:textId="77777777" w:rsidR="0058001D" w:rsidRPr="0058001D" w:rsidRDefault="0058001D" w:rsidP="0058001D">
      <w:pPr>
        <w:spacing w:before="80" w:after="40"/>
        <w:jc w:val="center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eastAsia="Traditional Arabic"/>
          <w:sz w:val="22"/>
          <w:szCs w:val="22"/>
        </w:rPr>
        <w:t>وَمِنْ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آدَابِ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الْمُتَعَلِّمِ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أَنْ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لاَ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يُجَادِلَ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أُسْتَاذَهُ</w:t>
      </w:r>
      <w:proofErr w:type="spellEnd"/>
    </w:p>
    <w:p w14:paraId="711D88C7" w14:textId="77777777" w:rsidR="0058001D" w:rsidRPr="0058001D" w:rsidRDefault="0058001D" w:rsidP="0058001D">
      <w:pPr>
        <w:spacing w:before="40" w:after="100"/>
        <w:jc w:val="center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i/>
          <w:iCs/>
          <w:sz w:val="22"/>
          <w:szCs w:val="22"/>
        </w:rPr>
        <w:t xml:space="preserve">"Di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antara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adab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penuntut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ilmu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adalah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membantah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gurunya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>." (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4)</w:t>
      </w:r>
    </w:p>
    <w:p w14:paraId="15153F98" w14:textId="7777777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color w:val="000000"/>
          <w:sz w:val="22"/>
          <w:szCs w:val="22"/>
        </w:rPr>
        <w:t xml:space="preserve">Al-Ghazali juga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menambahkan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sama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murid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hendaknya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bertanya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kepada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guru pada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waktu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tidak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tepat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menghormati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guru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baik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secara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lahir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maupun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batin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ketujuh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Al-Ghazali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mengaitkan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adab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pengendalian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diri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>:</w:t>
      </w:r>
    </w:p>
    <w:p w14:paraId="6B356316" w14:textId="77777777" w:rsidR="0058001D" w:rsidRPr="0058001D" w:rsidRDefault="0058001D" w:rsidP="0058001D">
      <w:pPr>
        <w:spacing w:before="80" w:after="40"/>
        <w:jc w:val="center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eastAsia="Traditional Arabic"/>
          <w:sz w:val="22"/>
          <w:szCs w:val="22"/>
        </w:rPr>
        <w:t>لاَ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تُنَازِرَنَّ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أَحَدًا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فِي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مَسْأَلَةٍ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إِنْ</w:t>
      </w:r>
      <w:proofErr w:type="spellEnd"/>
      <w:r w:rsidRPr="0058001D">
        <w:rPr>
          <w:rFonts w:ascii="Book Antiqua" w:eastAsia="Traditional Arabic" w:hAnsi="Book Antiqua" w:cs="Traditional Arabic"/>
          <w:sz w:val="22"/>
          <w:szCs w:val="22"/>
        </w:rPr>
        <w:t xml:space="preserve"> </w:t>
      </w:r>
      <w:proofErr w:type="spellStart"/>
      <w:r w:rsidRPr="0058001D">
        <w:rPr>
          <w:rFonts w:eastAsia="Traditional Arabic"/>
          <w:sz w:val="22"/>
          <w:szCs w:val="22"/>
        </w:rPr>
        <w:t>أَمْكَنَكَ</w:t>
      </w:r>
      <w:proofErr w:type="spellEnd"/>
    </w:p>
    <w:p w14:paraId="7A273E05" w14:textId="77777777" w:rsidR="0058001D" w:rsidRPr="0058001D" w:rsidRDefault="0058001D" w:rsidP="0058001D">
      <w:pPr>
        <w:spacing w:before="40" w:after="100"/>
        <w:jc w:val="center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i/>
          <w:iCs/>
          <w:sz w:val="22"/>
          <w:szCs w:val="22"/>
        </w:rPr>
        <w:t>"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Janganlah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engkau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mendebat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seseorang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suatu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masalah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jika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engkau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mampu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menghindarinya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>." (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7)</w:t>
      </w:r>
    </w:p>
    <w:p w14:paraId="4E834FE9" w14:textId="77777777" w:rsidR="0058001D" w:rsidRPr="0058001D" w:rsidRDefault="0058001D" w:rsidP="0058001D">
      <w:pPr>
        <w:spacing w:before="80" w:after="80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Nasihat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adab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bukan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sekadar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tata krama,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tetapi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merupakan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kerangka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mengatur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keseimbangan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antara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pendidik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sekaligus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mencerminkan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pembentukan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hAnsi="Book Antiqua"/>
          <w:color w:val="000000"/>
          <w:sz w:val="22"/>
          <w:szCs w:val="22"/>
        </w:rPr>
        <w:t>menyeluruh</w:t>
      </w:r>
      <w:proofErr w:type="spellEnd"/>
      <w:r w:rsidRPr="0058001D">
        <w:rPr>
          <w:rFonts w:ascii="Book Antiqua" w:hAnsi="Book Antiqua"/>
          <w:color w:val="000000"/>
          <w:sz w:val="22"/>
          <w:szCs w:val="22"/>
        </w:rPr>
        <w:t>.</w:t>
      </w:r>
    </w:p>
    <w:p w14:paraId="1E9D6E7F" w14:textId="77777777" w:rsidR="0058001D" w:rsidRPr="0058001D" w:rsidRDefault="0058001D" w:rsidP="0058001D">
      <w:pPr>
        <w:spacing w:before="120" w:after="60"/>
        <w:jc w:val="center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b/>
          <w:bCs/>
          <w:sz w:val="22"/>
          <w:szCs w:val="22"/>
        </w:rPr>
        <w:t>Tabel 3</w:t>
      </w:r>
    </w:p>
    <w:p w14:paraId="18A4B13E" w14:textId="77777777" w:rsidR="0058001D" w:rsidRPr="0058001D" w:rsidRDefault="0058001D" w:rsidP="0058001D">
      <w:pPr>
        <w:spacing w:after="100"/>
        <w:jc w:val="center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Ringkasan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Temuan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Relasi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Etis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Ayyuhal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Walad</w:t>
      </w:r>
    </w:p>
    <w:tbl>
      <w:tblPr>
        <w:tblW w:w="8000" w:type="dxa"/>
        <w:tblBorders>
          <w:top w:val="single" w:sz="4" w:space="0" w:color="2E4057"/>
          <w:left w:val="single" w:sz="4" w:space="0" w:color="auto"/>
          <w:bottom w:val="single" w:sz="4" w:space="0" w:color="2E4057"/>
          <w:right w:val="single" w:sz="4" w:space="0" w:color="auto"/>
          <w:insideH w:val="single" w:sz="4" w:space="0" w:color="2E4057"/>
          <w:insideV w:val="single" w:sz="4" w:space="0" w:color="2E4057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900"/>
        <w:gridCol w:w="2500"/>
        <w:gridCol w:w="2400"/>
      </w:tblGrid>
      <w:tr w:rsidR="0058001D" w:rsidRPr="0058001D" w14:paraId="4DB39CF8" w14:textId="77777777" w:rsidTr="0058001D">
        <w:tc>
          <w:tcPr>
            <w:tcW w:w="2200" w:type="dxa"/>
            <w:tcBorders>
              <w:left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130465C" w14:textId="77777777" w:rsidR="0058001D" w:rsidRPr="003F7660" w:rsidRDefault="0058001D" w:rsidP="003A09F1">
            <w:pPr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  <w:b/>
                <w:bCs/>
              </w:rPr>
              <w:t>Tema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407D8B1" w14:textId="77777777" w:rsidR="0058001D" w:rsidRPr="003F7660" w:rsidRDefault="0058001D" w:rsidP="003A09F1">
            <w:pPr>
              <w:rPr>
                <w:rFonts w:ascii="Book Antiqua" w:hAnsi="Book Antiqua"/>
              </w:rPr>
            </w:pPr>
            <w:proofErr w:type="spellStart"/>
            <w:r w:rsidRPr="003F7660">
              <w:rPr>
                <w:rFonts w:ascii="Book Antiqua" w:hAnsi="Book Antiqua"/>
                <w:b/>
                <w:bCs/>
              </w:rPr>
              <w:t>Jml</w:t>
            </w:r>
            <w:proofErr w:type="spellEnd"/>
            <w:r w:rsidRPr="003F7660">
              <w:rPr>
                <w:rFonts w:ascii="Book Antiqua" w:hAnsi="Book Antiqua"/>
                <w:b/>
                <w:bCs/>
              </w:rPr>
              <w:t xml:space="preserve"> Kode</w:t>
            </w:r>
          </w:p>
        </w:tc>
        <w:tc>
          <w:tcPr>
            <w:tcW w:w="2500" w:type="dxa"/>
            <w:tcBorders>
              <w:left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C10CAA8" w14:textId="77777777" w:rsidR="0058001D" w:rsidRPr="003F7660" w:rsidRDefault="0058001D" w:rsidP="003A09F1">
            <w:pPr>
              <w:rPr>
                <w:rFonts w:ascii="Book Antiqua" w:hAnsi="Book Antiqua"/>
              </w:rPr>
            </w:pPr>
            <w:proofErr w:type="spellStart"/>
            <w:r w:rsidRPr="003F7660">
              <w:rPr>
                <w:rFonts w:ascii="Book Antiqua" w:hAnsi="Book Antiqua"/>
                <w:b/>
                <w:bCs/>
              </w:rPr>
              <w:t>Kutipan</w:t>
            </w:r>
            <w:proofErr w:type="spellEnd"/>
            <w:r w:rsidRPr="003F7660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  <w:b/>
                <w:bCs/>
              </w:rPr>
              <w:t>Kunci</w:t>
            </w:r>
            <w:proofErr w:type="spellEnd"/>
          </w:p>
        </w:tc>
        <w:tc>
          <w:tcPr>
            <w:tcW w:w="2400" w:type="dxa"/>
            <w:tcBorders>
              <w:left w:val="nil"/>
              <w:right w:val="nil"/>
            </w:tcBorders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B3B5188" w14:textId="77777777" w:rsidR="0058001D" w:rsidRPr="003F7660" w:rsidRDefault="0058001D" w:rsidP="003A09F1">
            <w:pPr>
              <w:rPr>
                <w:rFonts w:ascii="Book Antiqua" w:hAnsi="Book Antiqua"/>
              </w:rPr>
            </w:pPr>
            <w:proofErr w:type="spellStart"/>
            <w:r w:rsidRPr="003F7660">
              <w:rPr>
                <w:rFonts w:ascii="Book Antiqua" w:hAnsi="Book Antiqua"/>
                <w:b/>
                <w:bCs/>
              </w:rPr>
              <w:t>Makna</w:t>
            </w:r>
            <w:proofErr w:type="spellEnd"/>
            <w:r w:rsidRPr="003F7660">
              <w:rPr>
                <w:rFonts w:ascii="Book Antiqua" w:hAnsi="Book Antiqua"/>
                <w:b/>
                <w:bCs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  <w:b/>
                <w:bCs/>
              </w:rPr>
              <w:t>Pedagogis</w:t>
            </w:r>
            <w:proofErr w:type="spellEnd"/>
          </w:p>
        </w:tc>
      </w:tr>
      <w:tr w:rsidR="0058001D" w:rsidRPr="0058001D" w14:paraId="20D75197" w14:textId="77777777" w:rsidTr="0058001D">
        <w:tc>
          <w:tcPr>
            <w:tcW w:w="22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99AE05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3F7660">
              <w:rPr>
                <w:rFonts w:ascii="Book Antiqua" w:hAnsi="Book Antiqua"/>
              </w:rPr>
              <w:t>Keteladanan</w:t>
            </w:r>
            <w:proofErr w:type="spellEnd"/>
            <w:r w:rsidRPr="003F7660">
              <w:rPr>
                <w:rFonts w:ascii="Book Antiqua" w:hAnsi="Book Antiqua"/>
              </w:rPr>
              <w:t xml:space="preserve"> (</w:t>
            </w:r>
            <w:proofErr w:type="spellStart"/>
            <w:r w:rsidRPr="003F7660">
              <w:rPr>
                <w:rFonts w:ascii="Book Antiqua" w:hAnsi="Book Antiqua"/>
                <w:i/>
                <w:iCs/>
              </w:rPr>
              <w:t>qudwah</w:t>
            </w:r>
            <w:proofErr w:type="spellEnd"/>
            <w:r w:rsidRPr="003F7660">
              <w:rPr>
                <w:rFonts w:ascii="Book Antiqua" w:hAnsi="Book Antiqua"/>
              </w:rPr>
              <w:t>)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5E8C1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</w:rPr>
              <w:t>8</w:t>
            </w:r>
          </w:p>
        </w:tc>
        <w:tc>
          <w:tcPr>
            <w:tcW w:w="25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5AF2688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</w:rPr>
              <w:t>"</w:t>
            </w:r>
            <w:proofErr w:type="spellStart"/>
            <w:r w:rsidRPr="003F7660">
              <w:rPr>
                <w:rFonts w:ascii="Book Antiqua" w:hAnsi="Book Antiqua"/>
              </w:rPr>
              <w:t>Ilmu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tanpa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amal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gila</w:t>
            </w:r>
            <w:proofErr w:type="spellEnd"/>
            <w:r w:rsidRPr="003F7660">
              <w:rPr>
                <w:rFonts w:ascii="Book Antiqua" w:hAnsi="Book Antiqua"/>
              </w:rPr>
              <w:t xml:space="preserve">" (N.1); "Guru </w:t>
            </w:r>
            <w:proofErr w:type="spellStart"/>
            <w:r w:rsidRPr="003F7660">
              <w:rPr>
                <w:rFonts w:ascii="Book Antiqua" w:hAnsi="Book Antiqua"/>
                <w:i/>
                <w:iCs/>
              </w:rPr>
              <w:t>mursyid</w:t>
            </w:r>
            <w:proofErr w:type="spellEnd"/>
            <w:r w:rsidRPr="003F7660">
              <w:rPr>
                <w:rFonts w:ascii="Book Antiqua" w:hAnsi="Book Antiqua"/>
              </w:rPr>
              <w:t>" (N.5)</w:t>
            </w:r>
          </w:p>
        </w:tc>
        <w:tc>
          <w:tcPr>
            <w:tcW w:w="24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65F0E5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3F7660">
              <w:rPr>
                <w:rFonts w:ascii="Book Antiqua" w:hAnsi="Book Antiqua"/>
              </w:rPr>
              <w:t>Internalisasi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nilai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melalui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teladan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nyata</w:t>
            </w:r>
            <w:proofErr w:type="spellEnd"/>
          </w:p>
        </w:tc>
      </w:tr>
      <w:tr w:rsidR="0058001D" w:rsidRPr="0058001D" w14:paraId="1EF69718" w14:textId="77777777" w:rsidTr="0058001D">
        <w:tc>
          <w:tcPr>
            <w:tcW w:w="22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61E3DF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3F7660">
              <w:rPr>
                <w:rFonts w:ascii="Book Antiqua" w:hAnsi="Book Antiqua"/>
              </w:rPr>
              <w:t>Niat</w:t>
            </w:r>
            <w:proofErr w:type="spellEnd"/>
            <w:r w:rsidRPr="003F7660">
              <w:rPr>
                <w:rFonts w:ascii="Book Antiqua" w:hAnsi="Book Antiqua"/>
              </w:rPr>
              <w:t xml:space="preserve"> Ikhlas (</w:t>
            </w:r>
            <w:proofErr w:type="spellStart"/>
            <w:r w:rsidRPr="003F7660">
              <w:rPr>
                <w:rFonts w:ascii="Book Antiqua" w:hAnsi="Book Antiqua"/>
                <w:i/>
                <w:iCs/>
              </w:rPr>
              <w:t>niyyah</w:t>
            </w:r>
            <w:proofErr w:type="spellEnd"/>
            <w:r w:rsidRPr="003F7660">
              <w:rPr>
                <w:rFonts w:ascii="Book Antiqua" w:hAnsi="Book Antiqua"/>
              </w:rPr>
              <w:t>)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6FCFEE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</w:rPr>
              <w:t>12</w:t>
            </w:r>
          </w:p>
        </w:tc>
        <w:tc>
          <w:tcPr>
            <w:tcW w:w="25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188C949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</w:rPr>
              <w:t>"</w:t>
            </w:r>
            <w:proofErr w:type="spellStart"/>
            <w:r w:rsidRPr="003F7660">
              <w:rPr>
                <w:rFonts w:ascii="Book Antiqua" w:hAnsi="Book Antiqua"/>
              </w:rPr>
              <w:t>Ilmu</w:t>
            </w:r>
            <w:proofErr w:type="spellEnd"/>
            <w:r w:rsidRPr="003F7660">
              <w:rPr>
                <w:rFonts w:ascii="Book Antiqua" w:hAnsi="Book Antiqua"/>
              </w:rPr>
              <w:t xml:space="preserve"> demi dunia </w:t>
            </w:r>
            <w:proofErr w:type="spellStart"/>
            <w:r w:rsidRPr="003F7660">
              <w:rPr>
                <w:rFonts w:ascii="Book Antiqua" w:hAnsi="Book Antiqua"/>
              </w:rPr>
              <w:t>rugi</w:t>
            </w:r>
            <w:proofErr w:type="spellEnd"/>
            <w:r w:rsidRPr="003F7660">
              <w:rPr>
                <w:rFonts w:ascii="Book Antiqua" w:hAnsi="Book Antiqua"/>
              </w:rPr>
              <w:t xml:space="preserve">" (N.2); "Allah </w:t>
            </w:r>
            <w:proofErr w:type="spellStart"/>
            <w:r w:rsidRPr="003F7660">
              <w:rPr>
                <w:rFonts w:ascii="Book Antiqua" w:hAnsi="Book Antiqua"/>
              </w:rPr>
              <w:t>melihat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niat</w:t>
            </w:r>
            <w:proofErr w:type="spellEnd"/>
            <w:r w:rsidRPr="003F7660">
              <w:rPr>
                <w:rFonts w:ascii="Book Antiqua" w:hAnsi="Book Antiqua"/>
              </w:rPr>
              <w:t>" (N.6)</w:t>
            </w:r>
          </w:p>
        </w:tc>
        <w:tc>
          <w:tcPr>
            <w:tcW w:w="24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9EB79A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</w:rPr>
              <w:t xml:space="preserve">Pendidikan </w:t>
            </w:r>
            <w:proofErr w:type="spellStart"/>
            <w:r w:rsidRPr="003F7660">
              <w:rPr>
                <w:rFonts w:ascii="Book Antiqua" w:hAnsi="Book Antiqua"/>
              </w:rPr>
              <w:t>berorientasi</w:t>
            </w:r>
            <w:proofErr w:type="spellEnd"/>
            <w:r w:rsidRPr="003F7660">
              <w:rPr>
                <w:rFonts w:ascii="Book Antiqua" w:hAnsi="Book Antiqua"/>
              </w:rPr>
              <w:t xml:space="preserve"> moral, </w:t>
            </w:r>
            <w:proofErr w:type="spellStart"/>
            <w:r w:rsidRPr="003F7660">
              <w:rPr>
                <w:rFonts w:ascii="Book Antiqua" w:hAnsi="Book Antiqua"/>
              </w:rPr>
              <w:t>bukan</w:t>
            </w:r>
            <w:proofErr w:type="spellEnd"/>
            <w:r w:rsidRPr="003F7660">
              <w:rPr>
                <w:rFonts w:ascii="Book Antiqua" w:hAnsi="Book Antiqua"/>
              </w:rPr>
              <w:t xml:space="preserve"> instrumental</w:t>
            </w:r>
          </w:p>
        </w:tc>
      </w:tr>
      <w:tr w:rsidR="0058001D" w:rsidRPr="0058001D" w14:paraId="64D95164" w14:textId="77777777" w:rsidTr="0058001D">
        <w:tc>
          <w:tcPr>
            <w:tcW w:w="22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50F3461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</w:rPr>
              <w:t>Adab Pedagogis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596413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</w:rPr>
              <w:t>7</w:t>
            </w:r>
          </w:p>
        </w:tc>
        <w:tc>
          <w:tcPr>
            <w:tcW w:w="25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7610A09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r w:rsidRPr="003F7660">
              <w:rPr>
                <w:rFonts w:ascii="Book Antiqua" w:hAnsi="Book Antiqua"/>
              </w:rPr>
              <w:t xml:space="preserve">"Tidak </w:t>
            </w:r>
            <w:proofErr w:type="spellStart"/>
            <w:r w:rsidRPr="003F7660">
              <w:rPr>
                <w:rFonts w:ascii="Book Antiqua" w:hAnsi="Book Antiqua"/>
              </w:rPr>
              <w:t>membantah</w:t>
            </w:r>
            <w:proofErr w:type="spellEnd"/>
            <w:r w:rsidRPr="003F7660">
              <w:rPr>
                <w:rFonts w:ascii="Book Antiqua" w:hAnsi="Book Antiqua"/>
              </w:rPr>
              <w:t xml:space="preserve"> guru" (N.4); "Tidak </w:t>
            </w:r>
            <w:proofErr w:type="spellStart"/>
            <w:r w:rsidRPr="003F7660">
              <w:rPr>
                <w:rFonts w:ascii="Book Antiqua" w:hAnsi="Book Antiqua"/>
              </w:rPr>
              <w:t>mendebat</w:t>
            </w:r>
            <w:proofErr w:type="spellEnd"/>
            <w:r w:rsidRPr="003F7660">
              <w:rPr>
                <w:rFonts w:ascii="Book Antiqua" w:hAnsi="Book Antiqua"/>
              </w:rPr>
              <w:t>" (N.7)</w:t>
            </w:r>
          </w:p>
        </w:tc>
        <w:tc>
          <w:tcPr>
            <w:tcW w:w="2400" w:type="dxa"/>
            <w:tcBorders>
              <w:left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CAF301" w14:textId="77777777" w:rsidR="0058001D" w:rsidRPr="003F7660" w:rsidRDefault="0058001D" w:rsidP="003A09F1">
            <w:pPr>
              <w:jc w:val="both"/>
              <w:rPr>
                <w:rFonts w:ascii="Book Antiqua" w:hAnsi="Book Antiqua"/>
              </w:rPr>
            </w:pPr>
            <w:proofErr w:type="spellStart"/>
            <w:r w:rsidRPr="003F7660">
              <w:rPr>
                <w:rFonts w:ascii="Book Antiqua" w:hAnsi="Book Antiqua"/>
              </w:rPr>
              <w:t>Relasi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belajar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bermartabat</w:t>
            </w:r>
            <w:proofErr w:type="spellEnd"/>
            <w:r w:rsidRPr="003F7660">
              <w:rPr>
                <w:rFonts w:ascii="Book Antiqua" w:hAnsi="Book Antiqua"/>
              </w:rPr>
              <w:t xml:space="preserve">; </w:t>
            </w:r>
            <w:proofErr w:type="spellStart"/>
            <w:r w:rsidRPr="003F7660">
              <w:rPr>
                <w:rFonts w:ascii="Book Antiqua" w:hAnsi="Book Antiqua"/>
              </w:rPr>
              <w:t>pengendalian</w:t>
            </w:r>
            <w:proofErr w:type="spellEnd"/>
            <w:r w:rsidRPr="003F7660">
              <w:rPr>
                <w:rFonts w:ascii="Book Antiqua" w:hAnsi="Book Antiqua"/>
              </w:rPr>
              <w:t xml:space="preserve"> </w:t>
            </w:r>
            <w:proofErr w:type="spellStart"/>
            <w:r w:rsidRPr="003F7660">
              <w:rPr>
                <w:rFonts w:ascii="Book Antiqua" w:hAnsi="Book Antiqua"/>
              </w:rPr>
              <w:t>diri</w:t>
            </w:r>
            <w:proofErr w:type="spellEnd"/>
          </w:p>
        </w:tc>
      </w:tr>
    </w:tbl>
    <w:p w14:paraId="13559D3F" w14:textId="08618F29" w:rsidR="00011B61" w:rsidRDefault="0058001D" w:rsidP="0058001D">
      <w:pPr>
        <w:tabs>
          <w:tab w:val="left" w:pos="567"/>
        </w:tabs>
        <w:spacing w:line="276" w:lineRule="auto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Sumber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: (Al-Ghazali, 1985/2021),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diolah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 xml:space="preserve"> </w:t>
      </w:r>
      <w:r w:rsidR="00510EB5">
        <w:rPr>
          <w:rFonts w:ascii="Book Antiqua" w:hAnsi="Book Antiqua"/>
          <w:i/>
          <w:iCs/>
          <w:sz w:val="22"/>
          <w:szCs w:val="22"/>
        </w:rPr>
        <w:t xml:space="preserve">oleh </w:t>
      </w:r>
      <w:proofErr w:type="spellStart"/>
      <w:r w:rsidRPr="0058001D">
        <w:rPr>
          <w:rFonts w:ascii="Book Antiqua" w:hAnsi="Book Antiqua"/>
          <w:i/>
          <w:iCs/>
          <w:sz w:val="22"/>
          <w:szCs w:val="22"/>
        </w:rPr>
        <w:t>peneliti</w:t>
      </w:r>
      <w:proofErr w:type="spellEnd"/>
      <w:r w:rsidRPr="0058001D">
        <w:rPr>
          <w:rFonts w:ascii="Book Antiqua" w:hAnsi="Book Antiqua"/>
          <w:i/>
          <w:iCs/>
          <w:sz w:val="22"/>
          <w:szCs w:val="22"/>
        </w:rPr>
        <w:t>.</w:t>
      </w:r>
    </w:p>
    <w:p w14:paraId="21F1182A" w14:textId="77777777" w:rsidR="00D52982" w:rsidRDefault="00D52982" w:rsidP="00667C8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Book Antiqua" w:eastAsia="Book Antiqua" w:hAnsi="Book Antiqua" w:cs="Book Antiqua"/>
          <w:color w:val="000000"/>
        </w:rPr>
      </w:pPr>
    </w:p>
    <w:p w14:paraId="48157C38" w14:textId="29BCBDFC" w:rsidR="00F440A9" w:rsidRDefault="0031098B" w:rsidP="00FD2025">
      <w:pPr>
        <w:spacing w:line="276" w:lineRule="auto"/>
        <w:rPr>
          <w:rFonts w:ascii="Book Antiqua" w:eastAsia="Book Antiqua" w:hAnsi="Book Antiqua" w:cs="Book Antiqua"/>
          <w:b/>
          <w:sz w:val="22"/>
          <w:szCs w:val="22"/>
        </w:rPr>
      </w:pPr>
      <w:r>
        <w:rPr>
          <w:rFonts w:ascii="Book Antiqua" w:eastAsia="Book Antiqua" w:hAnsi="Book Antiqua" w:cs="Book Antiqua"/>
          <w:b/>
          <w:sz w:val="22"/>
          <w:szCs w:val="22"/>
        </w:rPr>
        <w:t>P</w:t>
      </w:r>
      <w:r w:rsidR="00C86D8E">
        <w:rPr>
          <w:rFonts w:ascii="Book Antiqua" w:eastAsia="Book Antiqua" w:hAnsi="Book Antiqua" w:cs="Book Antiqua"/>
          <w:b/>
          <w:sz w:val="22"/>
          <w:szCs w:val="22"/>
        </w:rPr>
        <w:t>EMBAHASAN</w:t>
      </w:r>
    </w:p>
    <w:p w14:paraId="74C16F8D" w14:textId="07B40C1A" w:rsidR="0058001D" w:rsidRPr="0058001D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berakar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prinsip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menekankan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kesatuan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ilmu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amal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orientasi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benar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penguatan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adab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interaksi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pembelajaran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Ketiga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pilar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="00510EB5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: </w:t>
      </w:r>
      <w:proofErr w:type="spellStart"/>
      <w:r w:rsidR="00510EB5">
        <w:rPr>
          <w:rFonts w:ascii="Book Antiqua" w:eastAsia="Book Antiqua" w:hAnsi="Book Antiqua" w:cs="Book Antiqua"/>
          <w:color w:val="000000"/>
          <w:sz w:val="22"/>
          <w:szCs w:val="22"/>
        </w:rPr>
        <w:t>qudwah</w:t>
      </w:r>
      <w:proofErr w:type="spellEnd"/>
      <w:r w:rsidR="00510EB5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="00510EB5">
        <w:rPr>
          <w:rFonts w:ascii="Book Antiqua" w:eastAsia="Book Antiqua" w:hAnsi="Book Antiqua" w:cs="Book Antiqua"/>
          <w:color w:val="000000"/>
          <w:sz w:val="22"/>
          <w:szCs w:val="22"/>
        </w:rPr>
        <w:t>niyyah</w:t>
      </w:r>
      <w:proofErr w:type="spellEnd"/>
      <w:r w:rsidR="00510EB5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adab,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merupakan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konsep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berdiri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sendiri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melainkan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saling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mengandaikan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: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mungkin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ada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tanpa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benar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adab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bermakna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tanpa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keduanya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demikian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perspektif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bersifat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moral-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transformatif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teknis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-instrumental.</w:t>
      </w:r>
    </w:p>
    <w:p w14:paraId="3BE17BC5" w14:textId="2140F419" w:rsidR="0058001D" w:rsidRPr="0058001D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konteks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kontemporer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relevansi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semakin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kuat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seiring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510EB5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="00510EB5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dinamika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lingkungan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digital.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Ritonga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(2022)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menegaskan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arus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digitalisasi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memperluas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ruang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belajar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ranah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nonformal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sarat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tantangan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sehingga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menuntut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membimbing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kritis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reflektif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Kristiawan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et al. (2022)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kompetensi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literasi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digital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berkontribusi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signifikan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pembentukan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 era digital.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konteks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prinsip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ditegaskan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="00510EB5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oleh </w:t>
      </w:r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Al-Ghazali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tetap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relevan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strategi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lintas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zaman.</w:t>
      </w:r>
    </w:p>
    <w:p w14:paraId="5455FEAB" w14:textId="23C0FB82" w:rsidR="0058001D" w:rsidRPr="0058001D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Julismawati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Eliana (2024)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guru–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dilandasi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berkontribusi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efektif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pembentukan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Turner et al. (2024)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menegaskan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merupakan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mekanisme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internalisasi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paling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signifikan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Temuan-temuan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mempertegas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konsep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qudwah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hanya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ideal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normatif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melainkan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juga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relevan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operasional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praktik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modern.</w:t>
      </w:r>
    </w:p>
    <w:p w14:paraId="0217D89E" w14:textId="7318E860" w:rsidR="0058001D" w:rsidRPr="0058001D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Aspek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niyyah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memiliki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keterkaitan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erat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konsep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motivasi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internal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literatur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kontemporer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Xu et al. (2025)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motivasi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berbasis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berperan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mediator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penting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meningkatkan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keterlibatan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kelas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kualitas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hubungan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guru–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signifikan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memengaruhi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motivasi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belajar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remaja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Hal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sejalan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pandangan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proses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belajar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ditentukan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oleh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sehingga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hanya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berorientasi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hasil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akademik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tetapi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juga</w:t>
      </w:r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kualitas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individu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Yusuf dan Tamam (2023) juga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orientasi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Islam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berpengaruh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kualitas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pembelajaran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 Indonesia.</w:t>
      </w:r>
    </w:p>
    <w:p w14:paraId="67DDC77D" w14:textId="6566E10D" w:rsidR="0058001D" w:rsidRPr="0058001D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Aspek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adab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manifestasi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keselarasan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et al. (2025)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menemukan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hubungan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guru–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positif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berkontribusi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sensitivitas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di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kalangan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remaja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mediasi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dukungan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sosial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identitas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selaras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konsep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adab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menempatkan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penghormatan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kerendahan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hati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pengendalian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ego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fondasi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Faizin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et al. (2023)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pola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interaksi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perspektif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pemikiran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konsisten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menempatkan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adab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dasar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hubungan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bermartabat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transformatif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64CFABF" w14:textId="04F22CF0" w:rsidR="00740305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lastRenderedPageBreak/>
        <w:t>Kontribusi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terletak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upaya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mengintegrasikan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pemikiran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klasik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kerangka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modern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pendekatan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tematik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transparan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sistematis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Berbeda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kajian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sebelumnya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umumnya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mengidentifikasi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nilai-nilai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deskriptif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konkret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bagaimana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tiga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pilar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qudwah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niyyah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, dan adab</w:t>
      </w:r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muncul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diulang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saling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terkait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keseluruhan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Implikasinya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bagi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sistem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Indonesia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adalah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penguatan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perlu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menempatkan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sebagai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inti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pembelajaran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sekadar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instrumen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untuk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mentransmisikan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pengetahuan</w:t>
      </w:r>
      <w:proofErr w:type="spellEnd"/>
      <w:r w:rsidR="00740305" w:rsidRPr="00740305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9DB4057" w14:textId="77777777" w:rsidR="00740305" w:rsidRDefault="00740305" w:rsidP="00740305">
      <w:pPr>
        <w:spacing w:line="276" w:lineRule="auto"/>
        <w:ind w:firstLine="567"/>
        <w:jc w:val="both"/>
        <w:rPr>
          <w:rFonts w:ascii="Book Antiqua" w:eastAsia="Book Antiqua" w:hAnsi="Book Antiqua" w:cs="Book Antiqua"/>
          <w:b/>
          <w:sz w:val="22"/>
          <w:szCs w:val="22"/>
        </w:rPr>
      </w:pPr>
    </w:p>
    <w:p w14:paraId="16FD8830" w14:textId="77777777" w:rsidR="00F440A9" w:rsidRDefault="0031098B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KESIMPULAN </w:t>
      </w:r>
    </w:p>
    <w:p w14:paraId="12ADAABB" w14:textId="5C9732D2" w:rsidR="0058001D" w:rsidRPr="0058001D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menyimpulkan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antara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Ayyuhal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Walad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Imam Al-Ghazali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dibangun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tiga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pilar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utama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terintegrasi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: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qudwah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ikhlas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niyyah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), dan adab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interaksi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pembelajaran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diperoleh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melalui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tematik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sistematis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terhadap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keseluruhan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12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nasihat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menghasilkan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27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kode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awal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kemudian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dikonsolidasikan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menjadi</w:t>
      </w:r>
      <w:proofErr w:type="spellEnd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3</w:t>
      </w:r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inti.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Ketiga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aspek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tersebut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membentuk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pedagogis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tidak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hanya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berorientasi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transfer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pengetahuan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tetapi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juga pada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pembinaan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transformasi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moral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2B7B8D18" w14:textId="0FD4F1C7" w:rsidR="0058001D" w:rsidRPr="0058001D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memberikan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sumbangan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keilmuan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berupa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pengembangan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kerangka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analitis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relasi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dari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klasik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Islam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bersifat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operasional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sekadar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normatif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Secara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praktis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>mengonfirmasi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pentingnya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keteladanan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 (Turner et al., 2024;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Faizin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et al., 2023),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motivasi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internal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berbasis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nilai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(Xu et al., 2025),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kualitas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hubungan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guru–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didik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pembentukan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(Yang et al., 2025),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menunjukkan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bahwa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telah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merumuskan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kerangka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integratif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jauh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sebelumnya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tradisi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keilmuan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Islam.</w:t>
      </w:r>
    </w:p>
    <w:p w14:paraId="5F0ACA14" w14:textId="0A1D5C42" w:rsidR="00F440A9" w:rsidRDefault="0058001D" w:rsidP="0058001D">
      <w:pPr>
        <w:spacing w:line="276" w:lineRule="auto"/>
        <w:ind w:firstLine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ini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terbatas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pada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analisis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teks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tunggal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pendekatan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kepustakaan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.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Penelitian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lanjutan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pendekatan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empiris</w:t>
      </w:r>
      <w:proofErr w:type="spellEnd"/>
      <w:r w:rsidR="003F7660">
        <w:rPr>
          <w:rFonts w:ascii="Book Antiqua" w:eastAsia="Book Antiqua" w:hAnsi="Book Antiqua" w:cs="Book Antiqua"/>
          <w:color w:val="000000"/>
          <w:sz w:val="22"/>
          <w:szCs w:val="22"/>
        </w:rPr>
        <w:t>,</w:t>
      </w:r>
      <w:r w:rsidR="00C3353E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misalnya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studi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lapangan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 madrasah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atau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pesantren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pendekatan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r w:rsidRPr="003F7660">
        <w:rPr>
          <w:rFonts w:ascii="Book Antiqua" w:eastAsia="Book Antiqua" w:hAnsi="Book Antiqua" w:cs="Book Antiqua"/>
          <w:i/>
          <w:iCs/>
          <w:color w:val="000000"/>
          <w:sz w:val="22"/>
          <w:szCs w:val="22"/>
        </w:rPr>
        <w:t>mixed methods</w:t>
      </w:r>
      <w:r w:rsidR="003F7660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serta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dengan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sampel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lokasi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lebih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beragam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,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diperlukan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untuk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memperoleh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pemahaman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yang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lebih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mendalam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dan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komprehensif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tentang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implementasi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pemikiran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Al-Ghazali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dalam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praktik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pendidikan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karakter</w:t>
      </w:r>
      <w:proofErr w:type="spellEnd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 xml:space="preserve"> di Indonesia </w:t>
      </w:r>
      <w:proofErr w:type="spellStart"/>
      <w:r w:rsidRPr="0058001D">
        <w:rPr>
          <w:rFonts w:ascii="Book Antiqua" w:eastAsia="Book Antiqua" w:hAnsi="Book Antiqua" w:cs="Book Antiqua"/>
          <w:color w:val="000000"/>
          <w:sz w:val="22"/>
          <w:szCs w:val="22"/>
        </w:rPr>
        <w:t>kontemporer</w:t>
      </w:r>
      <w:proofErr w:type="spellEnd"/>
      <w:r w:rsidR="002A0853" w:rsidRPr="002A0853">
        <w:rPr>
          <w:rFonts w:ascii="Book Antiqua" w:eastAsia="Book Antiqua" w:hAnsi="Book Antiqua" w:cs="Book Antiqua"/>
          <w:color w:val="000000"/>
          <w:sz w:val="22"/>
          <w:szCs w:val="22"/>
        </w:rPr>
        <w:t>.</w:t>
      </w:r>
    </w:p>
    <w:p w14:paraId="3424A15D" w14:textId="77777777" w:rsidR="00BC1B51" w:rsidRDefault="00BC1B51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3BF755C8" w14:textId="7FF5B3A5" w:rsidR="00F440A9" w:rsidRDefault="0031098B" w:rsidP="00FD2025">
      <w:pPr>
        <w:spacing w:line="276" w:lineRule="auto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b/>
          <w:color w:val="000000"/>
          <w:sz w:val="22"/>
          <w:szCs w:val="22"/>
        </w:rPr>
        <w:t>DA</w:t>
      </w:r>
      <w:r w:rsidR="007235F6">
        <w:rPr>
          <w:rFonts w:ascii="Book Antiqua" w:eastAsia="Book Antiqua" w:hAnsi="Book Antiqua" w:cs="Book Antiqua"/>
          <w:b/>
          <w:color w:val="000000"/>
          <w:sz w:val="22"/>
          <w:szCs w:val="22"/>
        </w:rPr>
        <w:t xml:space="preserve">FTAR PUSTAKA </w:t>
      </w:r>
    </w:p>
    <w:p w14:paraId="3B3C10EF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Al-Ghazali, A. H. M. (1405H/1985). </w:t>
      </w:r>
      <w:proofErr w:type="spellStart"/>
      <w:r w:rsidRPr="0058001D">
        <w:rPr>
          <w:rFonts w:ascii="Book Antiqua" w:hAnsi="Book Antiqua"/>
          <w:sz w:val="22"/>
          <w:szCs w:val="22"/>
        </w:rPr>
        <w:t>Ayyuhal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Walad. Dar al-Minhaj.</w:t>
      </w:r>
    </w:p>
    <w:p w14:paraId="0A62658A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Al-Ghazali, A. H. M. (2021). </w:t>
      </w:r>
      <w:proofErr w:type="spellStart"/>
      <w:r w:rsidRPr="0058001D">
        <w:rPr>
          <w:rFonts w:ascii="Book Antiqua" w:hAnsi="Book Antiqua"/>
          <w:sz w:val="22"/>
          <w:szCs w:val="22"/>
        </w:rPr>
        <w:t>Terjemahan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Kitab </w:t>
      </w:r>
      <w:proofErr w:type="spellStart"/>
      <w:r w:rsidRPr="0058001D">
        <w:rPr>
          <w:rFonts w:ascii="Book Antiqua" w:hAnsi="Book Antiqua"/>
          <w:sz w:val="22"/>
          <w:szCs w:val="22"/>
        </w:rPr>
        <w:t>Ayyuhal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Walad: </w:t>
      </w:r>
      <w:proofErr w:type="spellStart"/>
      <w:r w:rsidRPr="0058001D">
        <w:rPr>
          <w:rFonts w:ascii="Book Antiqua" w:hAnsi="Book Antiqua"/>
          <w:sz w:val="22"/>
          <w:szCs w:val="22"/>
        </w:rPr>
        <w:t>Nasehat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Imam Al-Ghazali (A. </w:t>
      </w:r>
      <w:proofErr w:type="spellStart"/>
      <w:r w:rsidRPr="0058001D">
        <w:rPr>
          <w:rFonts w:ascii="Book Antiqua" w:hAnsi="Book Antiqua"/>
          <w:sz w:val="22"/>
          <w:szCs w:val="22"/>
        </w:rPr>
        <w:t>Wahyuningrum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Ed.). </w:t>
      </w:r>
      <w:proofErr w:type="spellStart"/>
      <w:r w:rsidRPr="0058001D">
        <w:rPr>
          <w:rFonts w:ascii="Book Antiqua" w:hAnsi="Book Antiqua"/>
          <w:sz w:val="22"/>
          <w:szCs w:val="22"/>
        </w:rPr>
        <w:t>Manba'ul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Huda.</w:t>
      </w:r>
    </w:p>
    <w:p w14:paraId="7BDE0D5C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>Braun, V., &amp; Clarke, V. (2022). Thematic analysis: A practical guide. SAGE Publications.</w:t>
      </w:r>
    </w:p>
    <w:p w14:paraId="10B38566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>Braun, V., &amp; Clarke, V. (2022). Toward good practice in thematic analysis: Avoiding common problems and be(com)</w:t>
      </w:r>
      <w:proofErr w:type="spellStart"/>
      <w:r w:rsidRPr="0058001D">
        <w:rPr>
          <w:rFonts w:ascii="Book Antiqua" w:hAnsi="Book Antiqua"/>
          <w:sz w:val="22"/>
          <w:szCs w:val="22"/>
        </w:rPr>
        <w:t>ing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a knowing researcher. International Journal of Transgender Health, 24(1), 1–6. https://doi.org/10.1080/26895269.2022.2129597</w:t>
      </w:r>
    </w:p>
    <w:p w14:paraId="52116103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lastRenderedPageBreak/>
        <w:t>Creswell, J. W., &amp; Poth, C. N. (2023). Qualitative inquiry and research design: Choosing among five approaches (5th ed.). SAGE Publications.</w:t>
      </w:r>
    </w:p>
    <w:p w14:paraId="7FC38A73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>Denzin, N. K., &amp; Lincoln, Y. S. (Eds.). (2018). The SAGE handbook of qualitative research (5th ed.). SAGE Publications.</w:t>
      </w:r>
    </w:p>
    <w:p w14:paraId="0BA3603B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sz w:val="22"/>
          <w:szCs w:val="22"/>
        </w:rPr>
        <w:t>Faizin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M., </w:t>
      </w:r>
      <w:proofErr w:type="spellStart"/>
      <w:r w:rsidRPr="0058001D">
        <w:rPr>
          <w:rFonts w:ascii="Book Antiqua" w:hAnsi="Book Antiqua"/>
          <w:sz w:val="22"/>
          <w:szCs w:val="22"/>
        </w:rPr>
        <w:t>Sholihah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A., Puspita, N., &amp; </w:t>
      </w:r>
      <w:proofErr w:type="spellStart"/>
      <w:r w:rsidRPr="0058001D">
        <w:rPr>
          <w:rFonts w:ascii="Book Antiqua" w:hAnsi="Book Antiqua"/>
          <w:sz w:val="22"/>
          <w:szCs w:val="22"/>
        </w:rPr>
        <w:t>Cantika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I. (2023). Pola </w:t>
      </w:r>
      <w:proofErr w:type="spellStart"/>
      <w:r w:rsidRPr="0058001D">
        <w:rPr>
          <w:rFonts w:ascii="Book Antiqua" w:hAnsi="Book Antiqua"/>
          <w:sz w:val="22"/>
          <w:szCs w:val="22"/>
        </w:rPr>
        <w:t>interaksi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pendidik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sz w:val="22"/>
          <w:szCs w:val="22"/>
        </w:rPr>
        <w:t>peserta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didik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pada </w:t>
      </w:r>
      <w:proofErr w:type="spellStart"/>
      <w:r w:rsidRPr="0058001D">
        <w:rPr>
          <w:rFonts w:ascii="Book Antiqua" w:hAnsi="Book Antiqua"/>
          <w:sz w:val="22"/>
          <w:szCs w:val="22"/>
        </w:rPr>
        <w:t>abad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21 </w:t>
      </w:r>
      <w:proofErr w:type="spellStart"/>
      <w:r w:rsidRPr="0058001D">
        <w:rPr>
          <w:rFonts w:ascii="Book Antiqua" w:hAnsi="Book Antiqua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perspektif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pemikiran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pendidikan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Islam Al-Ghazali. At-</w:t>
      </w:r>
      <w:proofErr w:type="spellStart"/>
      <w:r w:rsidRPr="0058001D">
        <w:rPr>
          <w:rFonts w:ascii="Book Antiqua" w:hAnsi="Book Antiqua"/>
          <w:sz w:val="22"/>
          <w:szCs w:val="22"/>
        </w:rPr>
        <w:t>Turots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58001D">
        <w:rPr>
          <w:rFonts w:ascii="Book Antiqua" w:hAnsi="Book Antiqua"/>
          <w:sz w:val="22"/>
          <w:szCs w:val="22"/>
        </w:rPr>
        <w:t>Jurnal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Pendidikan Islam, 4(2), 303–316. https://doi.org/10.51468/jpi.v4i2.142</w:t>
      </w:r>
    </w:p>
    <w:p w14:paraId="15AF740E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sz w:val="22"/>
          <w:szCs w:val="22"/>
        </w:rPr>
        <w:t>Indana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N., &amp; Mustofa, A. (2024). The concept of Islamic education in the perspective of Imam Al-Ghazali and its relevance in the contemporary era. </w:t>
      </w:r>
      <w:proofErr w:type="spellStart"/>
      <w:r w:rsidRPr="0058001D">
        <w:rPr>
          <w:rFonts w:ascii="Book Antiqua" w:hAnsi="Book Antiqua"/>
          <w:sz w:val="22"/>
          <w:szCs w:val="22"/>
        </w:rPr>
        <w:t>Urwatul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Wutsqo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58001D">
        <w:rPr>
          <w:rFonts w:ascii="Book Antiqua" w:hAnsi="Book Antiqua"/>
          <w:sz w:val="22"/>
          <w:szCs w:val="22"/>
        </w:rPr>
        <w:t>Jurnal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Studi </w:t>
      </w:r>
      <w:proofErr w:type="spellStart"/>
      <w:r w:rsidRPr="0058001D">
        <w:rPr>
          <w:rFonts w:ascii="Book Antiqua" w:hAnsi="Book Antiqua"/>
          <w:sz w:val="22"/>
          <w:szCs w:val="22"/>
        </w:rPr>
        <w:t>Kependidikan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dan Keislaman, 13(2), 242–256. https://doi.org/10.54437/urwatulwutsqo.v13i2.1351</w:t>
      </w:r>
    </w:p>
    <w:p w14:paraId="0703EE8B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Jadidah, A. (2024). </w:t>
      </w:r>
      <w:proofErr w:type="spellStart"/>
      <w:r w:rsidRPr="0058001D">
        <w:rPr>
          <w:rFonts w:ascii="Book Antiqua" w:hAnsi="Book Antiqua"/>
          <w:sz w:val="22"/>
          <w:szCs w:val="22"/>
        </w:rPr>
        <w:t>Relevansi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konsep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adab guru-murid </w:t>
      </w:r>
      <w:proofErr w:type="spellStart"/>
      <w:r w:rsidRPr="0058001D">
        <w:rPr>
          <w:rFonts w:ascii="Book Antiqua" w:hAnsi="Book Antiqua"/>
          <w:sz w:val="22"/>
          <w:szCs w:val="22"/>
        </w:rPr>
        <w:t>menurut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Al-Ghazali </w:t>
      </w:r>
      <w:proofErr w:type="spellStart"/>
      <w:r w:rsidRPr="0058001D">
        <w:rPr>
          <w:rFonts w:ascii="Book Antiqua" w:hAnsi="Book Antiqua"/>
          <w:sz w:val="22"/>
          <w:szCs w:val="22"/>
        </w:rPr>
        <w:t>dengan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pendidikan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kontemporer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: Studi kitab </w:t>
      </w:r>
      <w:proofErr w:type="spellStart"/>
      <w:r w:rsidRPr="0058001D">
        <w:rPr>
          <w:rFonts w:ascii="Book Antiqua" w:hAnsi="Book Antiqua"/>
          <w:sz w:val="22"/>
          <w:szCs w:val="22"/>
        </w:rPr>
        <w:t>Bidāyah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Al-</w:t>
      </w:r>
      <w:proofErr w:type="spellStart"/>
      <w:r w:rsidRPr="0058001D">
        <w:rPr>
          <w:rFonts w:ascii="Book Antiqua" w:hAnsi="Book Antiqua"/>
          <w:sz w:val="22"/>
          <w:szCs w:val="22"/>
        </w:rPr>
        <w:t>Hidāyah</w:t>
      </w:r>
      <w:proofErr w:type="spellEnd"/>
      <w:r w:rsidRPr="0058001D">
        <w:rPr>
          <w:rFonts w:ascii="Book Antiqua" w:hAnsi="Book Antiqua"/>
          <w:sz w:val="22"/>
          <w:szCs w:val="22"/>
        </w:rPr>
        <w:t>. Interdisciplinary Explorations in Research Journal (IERJ), 2(1), 516–528. https://doi.org/10.62976/ierj.v2i1.758</w:t>
      </w:r>
    </w:p>
    <w:p w14:paraId="3CE2F97A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sz w:val="22"/>
          <w:szCs w:val="22"/>
        </w:rPr>
        <w:t>Julismawati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J., &amp; Eliana, N. (2024). Peran guru </w:t>
      </w:r>
      <w:proofErr w:type="spellStart"/>
      <w:r w:rsidRPr="0058001D">
        <w:rPr>
          <w:rFonts w:ascii="Book Antiqua" w:hAnsi="Book Antiqua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membentuk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karakter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peserta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didik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58001D">
        <w:rPr>
          <w:rFonts w:ascii="Book Antiqua" w:hAnsi="Book Antiqua"/>
          <w:sz w:val="22"/>
          <w:szCs w:val="22"/>
        </w:rPr>
        <w:t>Jurnal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Review Pendidikan Dasar, 10(3), 255–259. https://doi.org/10.26740/jrpd.v10n3.p255-259</w:t>
      </w:r>
    </w:p>
    <w:p w14:paraId="6A8992E3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Khairunnisa, Z., Sari Rambe, L., </w:t>
      </w:r>
      <w:proofErr w:type="spellStart"/>
      <w:r w:rsidRPr="0058001D">
        <w:rPr>
          <w:rFonts w:ascii="Book Antiqua" w:hAnsi="Book Antiqua"/>
          <w:sz w:val="22"/>
          <w:szCs w:val="22"/>
        </w:rPr>
        <w:t>Amaliaa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Harahap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A., Ramadhan, R., &amp; </w:t>
      </w:r>
      <w:proofErr w:type="spellStart"/>
      <w:r w:rsidRPr="0058001D">
        <w:rPr>
          <w:rFonts w:ascii="Book Antiqua" w:hAnsi="Book Antiqua"/>
          <w:sz w:val="22"/>
          <w:szCs w:val="22"/>
        </w:rPr>
        <w:t>Puspika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Sari, H. (2024). Pendidikan </w:t>
      </w:r>
      <w:proofErr w:type="spellStart"/>
      <w:r w:rsidRPr="0058001D">
        <w:rPr>
          <w:rFonts w:ascii="Book Antiqua" w:hAnsi="Book Antiqua"/>
          <w:sz w:val="22"/>
          <w:szCs w:val="22"/>
        </w:rPr>
        <w:t>karakter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perspektif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Imam Al-Ghazali dan </w:t>
      </w:r>
      <w:proofErr w:type="spellStart"/>
      <w:r w:rsidRPr="0058001D">
        <w:rPr>
          <w:rFonts w:ascii="Book Antiqua" w:hAnsi="Book Antiqua"/>
          <w:sz w:val="22"/>
          <w:szCs w:val="22"/>
        </w:rPr>
        <w:t>relevansinya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terhadap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kurikulum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merdeka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58001D">
        <w:rPr>
          <w:rFonts w:ascii="Book Antiqua" w:hAnsi="Book Antiqua"/>
          <w:sz w:val="22"/>
          <w:szCs w:val="22"/>
        </w:rPr>
        <w:t>Pengertian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58001D">
        <w:rPr>
          <w:rFonts w:ascii="Book Antiqua" w:hAnsi="Book Antiqua"/>
          <w:sz w:val="22"/>
          <w:szCs w:val="22"/>
        </w:rPr>
        <w:t>Jurnal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Pendidikan Indonesia (PJPI), 2(3), 537–546. https://doi.org/10.61930/pjpi.v2i3</w:t>
      </w:r>
    </w:p>
    <w:p w14:paraId="3AD4F8F0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sz w:val="22"/>
          <w:szCs w:val="22"/>
        </w:rPr>
        <w:t>Kristiawan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M., </w:t>
      </w:r>
      <w:proofErr w:type="spellStart"/>
      <w:r w:rsidRPr="0058001D">
        <w:rPr>
          <w:rFonts w:ascii="Book Antiqua" w:hAnsi="Book Antiqua"/>
          <w:sz w:val="22"/>
          <w:szCs w:val="22"/>
        </w:rPr>
        <w:t>Suryanti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I., Muntazir, M., &amp; </w:t>
      </w:r>
      <w:proofErr w:type="spellStart"/>
      <w:r w:rsidRPr="0058001D">
        <w:rPr>
          <w:rFonts w:ascii="Book Antiqua" w:hAnsi="Book Antiqua"/>
          <w:sz w:val="22"/>
          <w:szCs w:val="22"/>
        </w:rPr>
        <w:t>Tobari</w:t>
      </w:r>
      <w:proofErr w:type="spellEnd"/>
      <w:r w:rsidRPr="0058001D">
        <w:rPr>
          <w:rFonts w:ascii="Book Antiqua" w:hAnsi="Book Antiqua"/>
          <w:sz w:val="22"/>
          <w:szCs w:val="22"/>
        </w:rPr>
        <w:t>, T. (2022). The influence of teachers' character education and digital literacy on students' character in the digital era. Al-</w:t>
      </w:r>
      <w:proofErr w:type="spellStart"/>
      <w:r w:rsidRPr="0058001D">
        <w:rPr>
          <w:rFonts w:ascii="Book Antiqua" w:hAnsi="Book Antiqua"/>
          <w:sz w:val="22"/>
          <w:szCs w:val="22"/>
        </w:rPr>
        <w:t>Ishlah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58001D">
        <w:rPr>
          <w:rFonts w:ascii="Book Antiqua" w:hAnsi="Book Antiqua"/>
          <w:sz w:val="22"/>
          <w:szCs w:val="22"/>
        </w:rPr>
        <w:t>Jurnal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Pendidikan, 14(1), 843–854. https://doi.org/10.35445/alishlah.v14i1.1231</w:t>
      </w:r>
    </w:p>
    <w:p w14:paraId="175EED4D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sz w:val="22"/>
          <w:szCs w:val="22"/>
        </w:rPr>
        <w:t>Lickona</w:t>
      </w:r>
      <w:proofErr w:type="spellEnd"/>
      <w:r w:rsidRPr="0058001D">
        <w:rPr>
          <w:rFonts w:ascii="Book Antiqua" w:hAnsi="Book Antiqua"/>
          <w:sz w:val="22"/>
          <w:szCs w:val="22"/>
        </w:rPr>
        <w:t>, T. (1991). Educating for character: How our schools can teach respect and responsibility. Bantam Books.</w:t>
      </w:r>
    </w:p>
    <w:p w14:paraId="2FC25BD8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>Merriam, S. B., &amp; Tisdell, E. J. (2016). Qualitative research: A guide to design and implementation (4th ed.). Jossey-Bass.</w:t>
      </w:r>
    </w:p>
    <w:p w14:paraId="4E4A4223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Narvaez, D., &amp; Lapsley, D. K. (2009). Moral identity, moral functioning, and the development of moral character. In D. M. Bartels, C. W. Bauman, L. J. </w:t>
      </w:r>
      <w:proofErr w:type="spellStart"/>
      <w:r w:rsidRPr="0058001D">
        <w:rPr>
          <w:rFonts w:ascii="Book Antiqua" w:hAnsi="Book Antiqua"/>
          <w:sz w:val="22"/>
          <w:szCs w:val="22"/>
        </w:rPr>
        <w:t>Skitka</w:t>
      </w:r>
      <w:proofErr w:type="spellEnd"/>
      <w:r w:rsidRPr="0058001D">
        <w:rPr>
          <w:rFonts w:ascii="Book Antiqua" w:hAnsi="Book Antiqua"/>
          <w:sz w:val="22"/>
          <w:szCs w:val="22"/>
        </w:rPr>
        <w:t>, &amp; D. L. Medin (Eds.), Psychology of learning and motivation (Vol. 50, pp. 237–274). Elsevier. https://doi.org/10.1016/S0079-7421(08)00408-8</w:t>
      </w:r>
    </w:p>
    <w:p w14:paraId="11D81C4C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Ramli, M. (2015). </w:t>
      </w:r>
      <w:proofErr w:type="spellStart"/>
      <w:r w:rsidRPr="0058001D">
        <w:rPr>
          <w:rFonts w:ascii="Book Antiqua" w:hAnsi="Book Antiqua"/>
          <w:sz w:val="22"/>
          <w:szCs w:val="22"/>
        </w:rPr>
        <w:t>Hakikat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pendidik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dan </w:t>
      </w:r>
      <w:proofErr w:type="spellStart"/>
      <w:r w:rsidRPr="0058001D">
        <w:rPr>
          <w:rFonts w:ascii="Book Antiqua" w:hAnsi="Book Antiqua"/>
          <w:sz w:val="22"/>
          <w:szCs w:val="22"/>
        </w:rPr>
        <w:t>peserta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didik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. </w:t>
      </w:r>
      <w:proofErr w:type="spellStart"/>
      <w:r w:rsidRPr="0058001D">
        <w:rPr>
          <w:rFonts w:ascii="Book Antiqua" w:hAnsi="Book Antiqua"/>
          <w:sz w:val="22"/>
          <w:szCs w:val="22"/>
        </w:rPr>
        <w:t>Tarbiyah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Islamiyah: </w:t>
      </w:r>
      <w:proofErr w:type="spellStart"/>
      <w:r w:rsidRPr="0058001D">
        <w:rPr>
          <w:rFonts w:ascii="Book Antiqua" w:hAnsi="Book Antiqua"/>
          <w:sz w:val="22"/>
          <w:szCs w:val="22"/>
        </w:rPr>
        <w:t>Jurnal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Ilmiah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Pendidikan Agama Islam, 5(1), 61–85.</w:t>
      </w:r>
    </w:p>
    <w:p w14:paraId="2AC25272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proofErr w:type="spellStart"/>
      <w:r w:rsidRPr="0058001D">
        <w:rPr>
          <w:rFonts w:ascii="Book Antiqua" w:hAnsi="Book Antiqua"/>
          <w:sz w:val="22"/>
          <w:szCs w:val="22"/>
        </w:rPr>
        <w:t>Ritonga</w:t>
      </w:r>
      <w:proofErr w:type="spellEnd"/>
      <w:r w:rsidRPr="0058001D">
        <w:rPr>
          <w:rFonts w:ascii="Book Antiqua" w:hAnsi="Book Antiqua"/>
          <w:sz w:val="22"/>
          <w:szCs w:val="22"/>
        </w:rPr>
        <w:t>, A. W. (2022). Role of teachers and parents in realizing character education in the digital era. Indonesian Values and Character Education Journal, 5(1), 9–18. https://doi.org/10.23887/ivcej.v5i1.39729</w:t>
      </w:r>
    </w:p>
    <w:p w14:paraId="7BE1BA26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Sabariah, H., </w:t>
      </w:r>
      <w:proofErr w:type="spellStart"/>
      <w:r w:rsidRPr="0058001D">
        <w:rPr>
          <w:rFonts w:ascii="Book Antiqua" w:hAnsi="Book Antiqua"/>
          <w:sz w:val="22"/>
          <w:szCs w:val="22"/>
        </w:rPr>
        <w:t>Anggriani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D., Zuhra, D. M., Syafrida, &amp; Azhar. (2024). </w:t>
      </w:r>
      <w:proofErr w:type="spellStart"/>
      <w:r w:rsidRPr="0058001D">
        <w:rPr>
          <w:rFonts w:ascii="Book Antiqua" w:hAnsi="Book Antiqua"/>
          <w:sz w:val="22"/>
          <w:szCs w:val="22"/>
        </w:rPr>
        <w:t>Konsep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adab </w:t>
      </w:r>
      <w:proofErr w:type="spellStart"/>
      <w:r w:rsidRPr="0058001D">
        <w:rPr>
          <w:rFonts w:ascii="Book Antiqua" w:hAnsi="Book Antiqua"/>
          <w:sz w:val="22"/>
          <w:szCs w:val="22"/>
        </w:rPr>
        <w:t>dalam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pemikiran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Imam Al-Ghazali dan </w:t>
      </w:r>
      <w:proofErr w:type="spellStart"/>
      <w:r w:rsidRPr="0058001D">
        <w:rPr>
          <w:rFonts w:ascii="Book Antiqua" w:hAnsi="Book Antiqua"/>
          <w:sz w:val="22"/>
          <w:szCs w:val="22"/>
        </w:rPr>
        <w:t>implikasinya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terhadap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pembentukan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t>karakter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</w:t>
      </w:r>
      <w:proofErr w:type="spellStart"/>
      <w:r w:rsidRPr="0058001D">
        <w:rPr>
          <w:rFonts w:ascii="Book Antiqua" w:hAnsi="Book Antiqua"/>
          <w:sz w:val="22"/>
          <w:szCs w:val="22"/>
        </w:rPr>
        <w:lastRenderedPageBreak/>
        <w:t>siswa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di era </w:t>
      </w:r>
      <w:proofErr w:type="spellStart"/>
      <w:r w:rsidRPr="0058001D">
        <w:rPr>
          <w:rFonts w:ascii="Book Antiqua" w:hAnsi="Book Antiqua"/>
          <w:sz w:val="22"/>
          <w:szCs w:val="22"/>
        </w:rPr>
        <w:t>kontemporer</w:t>
      </w:r>
      <w:proofErr w:type="spellEnd"/>
      <w:r w:rsidRPr="0058001D">
        <w:rPr>
          <w:rFonts w:ascii="Book Antiqua" w:hAnsi="Book Antiqua"/>
          <w:sz w:val="22"/>
          <w:szCs w:val="22"/>
        </w:rPr>
        <w:t>. Al-</w:t>
      </w:r>
      <w:proofErr w:type="spellStart"/>
      <w:r w:rsidRPr="0058001D">
        <w:rPr>
          <w:rFonts w:ascii="Book Antiqua" w:hAnsi="Book Antiqua"/>
          <w:sz w:val="22"/>
          <w:szCs w:val="22"/>
        </w:rPr>
        <w:t>Adabiyah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: </w:t>
      </w:r>
      <w:proofErr w:type="spellStart"/>
      <w:r w:rsidRPr="0058001D">
        <w:rPr>
          <w:rFonts w:ascii="Book Antiqua" w:hAnsi="Book Antiqua"/>
          <w:sz w:val="22"/>
          <w:szCs w:val="22"/>
        </w:rPr>
        <w:t>Jurnal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Pendidikan Agama Islam, 5(1), 1–18.</w:t>
      </w:r>
    </w:p>
    <w:p w14:paraId="1DAF42BC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Suyadi, S., </w:t>
      </w:r>
      <w:proofErr w:type="spellStart"/>
      <w:r w:rsidRPr="0058001D">
        <w:rPr>
          <w:rFonts w:ascii="Book Antiqua" w:hAnsi="Book Antiqua"/>
          <w:sz w:val="22"/>
          <w:szCs w:val="22"/>
        </w:rPr>
        <w:t>Nuryana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Z., &amp; Fauzi, N. A. F. (2020). The </w:t>
      </w:r>
      <w:proofErr w:type="spellStart"/>
      <w:r w:rsidRPr="0058001D">
        <w:rPr>
          <w:rFonts w:ascii="Book Antiqua" w:hAnsi="Book Antiqua"/>
          <w:sz w:val="22"/>
          <w:szCs w:val="22"/>
        </w:rPr>
        <w:t>fiqh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of disaster: The mitigation of Covid-19 in the perspective of Islamic education theology. International Journal of Disaster Risk Reduction, 51, 101848. https://doi.org/10.1016/j.ijdrr.2020.101848</w:t>
      </w:r>
    </w:p>
    <w:p w14:paraId="679FF4BF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Turner, C., </w:t>
      </w:r>
      <w:proofErr w:type="spellStart"/>
      <w:r w:rsidRPr="0058001D">
        <w:rPr>
          <w:rFonts w:ascii="Book Antiqua" w:hAnsi="Book Antiqua"/>
          <w:sz w:val="22"/>
          <w:szCs w:val="22"/>
        </w:rPr>
        <w:t>Prasasti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I. H., </w:t>
      </w:r>
      <w:proofErr w:type="spellStart"/>
      <w:r w:rsidRPr="0058001D">
        <w:rPr>
          <w:rFonts w:ascii="Book Antiqua" w:hAnsi="Book Antiqua"/>
          <w:sz w:val="22"/>
          <w:szCs w:val="22"/>
        </w:rPr>
        <w:t>Baihaqi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, Y., &amp; </w:t>
      </w:r>
      <w:proofErr w:type="spellStart"/>
      <w:r w:rsidRPr="0058001D">
        <w:rPr>
          <w:rFonts w:ascii="Book Antiqua" w:hAnsi="Book Antiqua"/>
          <w:sz w:val="22"/>
          <w:szCs w:val="22"/>
        </w:rPr>
        <w:t>Andewi</w:t>
      </w:r>
      <w:proofErr w:type="spellEnd"/>
      <w:r w:rsidRPr="0058001D">
        <w:rPr>
          <w:rFonts w:ascii="Book Antiqua" w:hAnsi="Book Antiqua"/>
          <w:sz w:val="22"/>
          <w:szCs w:val="22"/>
        </w:rPr>
        <w:t>, W. (2024). The role of the teacher as a model in forming character education in primary school students. International Journal of Education, Culture and Technology, 1(1), 47–52. https://doi.org/10.69747/edu-ij.v1i1.53</w:t>
      </w:r>
    </w:p>
    <w:p w14:paraId="7E7D240A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>UNESCO. (2021). Reimagining our futures together: A new social contract for education. UNESCO Publishing. https://www.unesco.org/en/articles/reimagining-our-futures-together-new-social-contract-education</w:t>
      </w:r>
    </w:p>
    <w:p w14:paraId="21DC9FFA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Xu, F., Wang, L., &amp; Xu, J. (2025). The impact of teachers' motivating style and student–teacher relationships on adolescents' class participation: The indirect role of learning motivation. Acta </w:t>
      </w:r>
      <w:proofErr w:type="spellStart"/>
      <w:r w:rsidRPr="0058001D">
        <w:rPr>
          <w:rFonts w:ascii="Book Antiqua" w:hAnsi="Book Antiqua"/>
          <w:sz w:val="22"/>
          <w:szCs w:val="22"/>
        </w:rPr>
        <w:t>Psychologica</w:t>
      </w:r>
      <w:proofErr w:type="spellEnd"/>
      <w:r w:rsidRPr="0058001D">
        <w:rPr>
          <w:rFonts w:ascii="Book Antiqua" w:hAnsi="Book Antiqua"/>
          <w:sz w:val="22"/>
          <w:szCs w:val="22"/>
        </w:rPr>
        <w:t>, 257, 105105. https://doi.org/10.1016/j.actpsy.2025.105105</w:t>
      </w:r>
    </w:p>
    <w:p w14:paraId="27F1F58A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>Yang, S., Zhang, H., Zhu, X., &amp; Li, W. (2025). Associations between teacher–student relationship and moral sensitivity among Chinese adolescents in the digital age: The chain mediation effect of perceived social support and moral identity. Humanities and Social Sciences Communications, 12, 272. https://doi.org/10.1057/s41599-025-04632-2</w:t>
      </w:r>
    </w:p>
    <w:p w14:paraId="0865800F" w14:textId="77777777" w:rsidR="0058001D" w:rsidRPr="0058001D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hAnsi="Book Antiqua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 xml:space="preserve">Yusuf, M., &amp; Tamam, A. M. (2023). Al-Ghazali's concept of moral education and its relevance to character education in Indonesia. </w:t>
      </w:r>
      <w:proofErr w:type="spellStart"/>
      <w:r w:rsidRPr="0058001D">
        <w:rPr>
          <w:rFonts w:ascii="Book Antiqua" w:hAnsi="Book Antiqua"/>
          <w:sz w:val="22"/>
          <w:szCs w:val="22"/>
        </w:rPr>
        <w:t>Jurnal</w:t>
      </w:r>
      <w:proofErr w:type="spellEnd"/>
      <w:r w:rsidRPr="0058001D">
        <w:rPr>
          <w:rFonts w:ascii="Book Antiqua" w:hAnsi="Book Antiqua"/>
          <w:sz w:val="22"/>
          <w:szCs w:val="22"/>
        </w:rPr>
        <w:t xml:space="preserve"> Pendidikan Islam, 12(1), 1–18. https://doi.org/10.14421/jpi.2023.121.1-18</w:t>
      </w:r>
    </w:p>
    <w:p w14:paraId="5BC017FE" w14:textId="38EE7985" w:rsidR="005F559A" w:rsidRPr="000A3679" w:rsidRDefault="0058001D" w:rsidP="003F7660">
      <w:pPr>
        <w:tabs>
          <w:tab w:val="left" w:pos="567"/>
        </w:tabs>
        <w:spacing w:line="276" w:lineRule="auto"/>
        <w:ind w:left="567" w:hanging="567"/>
        <w:jc w:val="both"/>
        <w:rPr>
          <w:rFonts w:ascii="Book Antiqua" w:eastAsia="Book Antiqua" w:hAnsi="Book Antiqua" w:cs="Book Antiqua"/>
          <w:color w:val="000000"/>
          <w:sz w:val="22"/>
          <w:szCs w:val="22"/>
        </w:rPr>
      </w:pPr>
      <w:r w:rsidRPr="0058001D">
        <w:rPr>
          <w:rFonts w:ascii="Book Antiqua" w:hAnsi="Book Antiqua"/>
          <w:sz w:val="22"/>
          <w:szCs w:val="22"/>
        </w:rPr>
        <w:t>Zainuddin, Z., &amp; Halili, S. H. (2016). Flipped classroom research and trends from different fields of study. International Review of Research in Open and Distributed Learning, 17(3), 313–340. https://doi.org/10.19173/irrodl.v17i3.2274</w:t>
      </w:r>
    </w:p>
    <w:p w14:paraId="17F60D50" w14:textId="08C6328E" w:rsidR="00D67AF4" w:rsidRPr="00817B4D" w:rsidRDefault="00D67AF4" w:rsidP="001935EB">
      <w:pPr>
        <w:ind w:left="567" w:hanging="567"/>
        <w:jc w:val="both"/>
        <w:rPr>
          <w:rFonts w:ascii="Book Antiqua" w:hAnsi="Book Antiqua"/>
          <w:sz w:val="22"/>
          <w:szCs w:val="22"/>
        </w:rPr>
      </w:pPr>
    </w:p>
    <w:sectPr w:rsidR="00D67AF4" w:rsidRPr="00817B4D" w:rsidSect="00633E8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701" w:bottom="1701" w:left="1701" w:header="850" w:footer="850" w:gutter="0"/>
      <w:pgNumType w:start="22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88BC0" w14:textId="77777777" w:rsidR="00CC6A8F" w:rsidRDefault="00CC6A8F">
      <w:r>
        <w:separator/>
      </w:r>
    </w:p>
  </w:endnote>
  <w:endnote w:type="continuationSeparator" w:id="0">
    <w:p w14:paraId="5A107DF6" w14:textId="77777777" w:rsidR="00CC6A8F" w:rsidRDefault="00CC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70DBB" w14:textId="77777777" w:rsidR="00011B61" w:rsidRPr="00616AE7" w:rsidRDefault="00011B61" w:rsidP="00582B4A">
    <w:pPr>
      <w:pStyle w:val="Header"/>
      <w:tabs>
        <w:tab w:val="right" w:pos="8460"/>
      </w:tabs>
      <w:ind w:right="45"/>
    </w:pPr>
  </w:p>
  <w:p w14:paraId="0234A07A" w14:textId="00668CFE" w:rsidR="00011B61" w:rsidRPr="00582B4A" w:rsidRDefault="00011B61" w:rsidP="00582B4A">
    <w:pPr>
      <w:pStyle w:val="Header"/>
      <w:tabs>
        <w:tab w:val="right" w:pos="8460"/>
      </w:tabs>
      <w:ind w:right="45"/>
      <w:rPr>
        <w:rFonts w:ascii="Book Antiqua" w:hAnsi="Book Antiqua"/>
        <w:bCs/>
        <w:color w:val="000000"/>
      </w:rPr>
    </w:pPr>
    <w:r w:rsidRPr="00616AE7">
      <w:rPr>
        <w:rFonts w:ascii="Book Antiqua" w:hAnsi="Book Antiqua"/>
        <w:b/>
        <w:bCs/>
      </w:rPr>
      <w:fldChar w:fldCharType="begin"/>
    </w:r>
    <w:r w:rsidRPr="00616AE7">
      <w:rPr>
        <w:rFonts w:ascii="Book Antiqua" w:hAnsi="Book Antiqua"/>
        <w:b/>
        <w:bCs/>
      </w:rPr>
      <w:instrText xml:space="preserve"> PAGE   \* MERGEFORMAT </w:instrText>
    </w:r>
    <w:r w:rsidRPr="00616AE7">
      <w:rPr>
        <w:rFonts w:ascii="Book Antiqua" w:hAnsi="Book Antiqua"/>
        <w:b/>
        <w:bCs/>
      </w:rPr>
      <w:fldChar w:fldCharType="separate"/>
    </w:r>
    <w:r w:rsidR="0044575F">
      <w:rPr>
        <w:rFonts w:ascii="Book Antiqua" w:hAnsi="Book Antiqua"/>
        <w:b/>
        <w:bCs/>
        <w:noProof/>
      </w:rPr>
      <w:t>6</w:t>
    </w:r>
    <w:r w:rsidRPr="00616AE7">
      <w:rPr>
        <w:rFonts w:ascii="Book Antiqua" w:hAnsi="Book Antiqua"/>
        <w:b/>
        <w:bCs/>
      </w:rPr>
      <w:fldChar w:fldCharType="end"/>
    </w:r>
    <w:r w:rsidRPr="00616AE7">
      <w:rPr>
        <w:rFonts w:ascii="Book Antiqua" w:hAnsi="Book Antiqua"/>
        <w:b/>
        <w:bCs/>
        <w:noProof/>
      </w:rPr>
      <w:t>|</w:t>
    </w:r>
    <w:r w:rsidRPr="00616AE7">
      <w:rPr>
        <w:noProof/>
      </w:rPr>
      <w:t xml:space="preserve"> </w:t>
    </w:r>
    <w:proofErr w:type="spellStart"/>
    <w:r>
      <w:rPr>
        <w:rFonts w:ascii="Book Antiqua" w:hAnsi="Book Antiqua"/>
      </w:rPr>
      <w:t>Andragogi</w:t>
    </w:r>
    <w:proofErr w:type="spellEnd"/>
    <w:r>
      <w:rPr>
        <w:rFonts w:ascii="Book Antiqua" w:hAnsi="Book Antiqua"/>
      </w:rPr>
      <w:t xml:space="preserve">: Vol </w:t>
    </w:r>
    <w:r w:rsidR="00CE4D3A">
      <w:rPr>
        <w:rFonts w:ascii="Book Antiqua" w:hAnsi="Book Antiqua"/>
      </w:rPr>
      <w:t>6</w:t>
    </w:r>
    <w:r>
      <w:rPr>
        <w:rFonts w:ascii="Book Antiqua" w:hAnsi="Book Antiqua"/>
      </w:rPr>
      <w:t xml:space="preserve"> no 1 202</w:t>
    </w:r>
    <w:r w:rsidR="00CE4D3A">
      <w:rPr>
        <w:rFonts w:ascii="Book Antiqua" w:hAnsi="Book Antiqua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695E4" w14:textId="77777777" w:rsidR="00011B61" w:rsidRPr="00616AE7" w:rsidRDefault="00011B61" w:rsidP="00275169">
    <w:pPr>
      <w:pStyle w:val="Header"/>
      <w:tabs>
        <w:tab w:val="right" w:pos="8460"/>
      </w:tabs>
      <w:ind w:right="45"/>
    </w:pPr>
  </w:p>
  <w:p w14:paraId="7DC357B0" w14:textId="45592FAC" w:rsidR="00011B61" w:rsidRPr="00275169" w:rsidRDefault="00011B61" w:rsidP="00275169">
    <w:pPr>
      <w:pStyle w:val="Header"/>
      <w:tabs>
        <w:tab w:val="right" w:pos="8460"/>
      </w:tabs>
      <w:ind w:right="45"/>
      <w:rPr>
        <w:rFonts w:ascii="Book Antiqua" w:hAnsi="Book Antiqua"/>
        <w:bCs/>
        <w:color w:val="000000"/>
      </w:rPr>
    </w:pPr>
    <w:r w:rsidRPr="00616AE7">
      <w:rPr>
        <w:rFonts w:ascii="Book Antiqua" w:hAnsi="Book Antiqua"/>
        <w:b/>
        <w:bCs/>
      </w:rPr>
      <w:fldChar w:fldCharType="begin"/>
    </w:r>
    <w:r w:rsidRPr="00616AE7">
      <w:rPr>
        <w:rFonts w:ascii="Book Antiqua" w:hAnsi="Book Antiqua"/>
        <w:b/>
        <w:bCs/>
      </w:rPr>
      <w:instrText xml:space="preserve"> PAGE   \* MERGEFORMAT </w:instrText>
    </w:r>
    <w:r w:rsidRPr="00616AE7">
      <w:rPr>
        <w:rFonts w:ascii="Book Antiqua" w:hAnsi="Book Antiqua"/>
        <w:b/>
        <w:bCs/>
      </w:rPr>
      <w:fldChar w:fldCharType="separate"/>
    </w:r>
    <w:r w:rsidR="0044575F">
      <w:rPr>
        <w:rFonts w:ascii="Book Antiqua" w:hAnsi="Book Antiqua"/>
        <w:b/>
        <w:bCs/>
        <w:noProof/>
      </w:rPr>
      <w:t>7</w:t>
    </w:r>
    <w:r w:rsidRPr="00616AE7">
      <w:rPr>
        <w:rFonts w:ascii="Book Antiqua" w:hAnsi="Book Antiqua"/>
        <w:b/>
        <w:bCs/>
      </w:rPr>
      <w:fldChar w:fldCharType="end"/>
    </w:r>
    <w:r w:rsidRPr="00616AE7">
      <w:rPr>
        <w:rFonts w:ascii="Book Antiqua" w:hAnsi="Book Antiqua"/>
        <w:b/>
        <w:bCs/>
        <w:noProof/>
      </w:rPr>
      <w:t>|</w:t>
    </w:r>
    <w:r w:rsidRPr="00616AE7">
      <w:rPr>
        <w:noProof/>
      </w:rPr>
      <w:t xml:space="preserve"> </w:t>
    </w:r>
    <w:proofErr w:type="spellStart"/>
    <w:r>
      <w:rPr>
        <w:rFonts w:ascii="Book Antiqua" w:hAnsi="Book Antiqua"/>
      </w:rPr>
      <w:t>Andragogi</w:t>
    </w:r>
    <w:proofErr w:type="spellEnd"/>
    <w:r>
      <w:rPr>
        <w:rFonts w:ascii="Book Antiqua" w:hAnsi="Book Antiqua"/>
      </w:rPr>
      <w:t xml:space="preserve">: Vol </w:t>
    </w:r>
    <w:r w:rsidR="00400A8B">
      <w:rPr>
        <w:rFonts w:ascii="Book Antiqua" w:hAnsi="Book Antiqua"/>
      </w:rPr>
      <w:t>6</w:t>
    </w:r>
    <w:r>
      <w:rPr>
        <w:rFonts w:ascii="Book Antiqua" w:hAnsi="Book Antiqua"/>
      </w:rPr>
      <w:t xml:space="preserve"> no 1 202</w:t>
    </w:r>
    <w:r w:rsidR="00400A8B">
      <w:rPr>
        <w:rFonts w:ascii="Book Antiqua" w:hAnsi="Book Antiqua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3CB3B" w14:textId="499FFA14" w:rsidR="00011B61" w:rsidRPr="008F4C8E" w:rsidRDefault="00011B61" w:rsidP="008F4C8E">
    <w:pPr>
      <w:pStyle w:val="Footer"/>
      <w:jc w:val="center"/>
    </w:pPr>
    <w:hyperlink r:id="rId1" w:history="1">
      <w:r w:rsidRPr="007B019D">
        <w:rPr>
          <w:rStyle w:val="Hyperlink"/>
        </w:rPr>
        <w:t>https://pasca.jurnalikhac.ac.id/index.php/adrg/index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D4FE" w14:textId="77777777" w:rsidR="00CC6A8F" w:rsidRDefault="00CC6A8F">
      <w:r>
        <w:separator/>
      </w:r>
    </w:p>
  </w:footnote>
  <w:footnote w:type="continuationSeparator" w:id="0">
    <w:p w14:paraId="3A3C739B" w14:textId="77777777" w:rsidR="00CC6A8F" w:rsidRDefault="00CC6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3ADE" w14:textId="73E5EE76" w:rsidR="00CE4D3A" w:rsidRPr="00CE4D3A" w:rsidRDefault="00CE4D3A">
    <w:pPr>
      <w:pStyle w:val="Header"/>
      <w:rPr>
        <w:b/>
        <w:bCs/>
      </w:rPr>
    </w:pPr>
    <w:r w:rsidRPr="00CE4D3A">
      <w:rPr>
        <w:b/>
        <w:bCs/>
      </w:rPr>
      <w:t xml:space="preserve">Author: </w:t>
    </w:r>
    <w:r w:rsidR="00633E87" w:rsidRPr="00633E87">
      <w:rPr>
        <w:b/>
        <w:bCs/>
      </w:rPr>
      <w:t>Siti Zainab, Hairul Hudaya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66181" w14:textId="034BE7C4" w:rsidR="00011B61" w:rsidRPr="00FD2025" w:rsidRDefault="004C4067" w:rsidP="00FD2025">
    <w:pPr>
      <w:pStyle w:val="Header"/>
      <w:rPr>
        <w:rFonts w:eastAsia="Book Antiqua"/>
      </w:rPr>
    </w:pPr>
    <w:proofErr w:type="spellStart"/>
    <w:r w:rsidRPr="004C4067">
      <w:rPr>
        <w:rFonts w:ascii="Book Antiqua" w:hAnsi="Book Antiqua"/>
        <w:bCs/>
        <w:color w:val="000000"/>
        <w:lang w:eastAsia="id-ID"/>
      </w:rPr>
      <w:t>Relasi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Etis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Pendidik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dan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Peserta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Didik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dalam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Kitab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Ayyuhal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Walad: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Relevansi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Pemikiran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Al-Ghazali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bagi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Pendidikan </w:t>
    </w:r>
    <w:proofErr w:type="spellStart"/>
    <w:r w:rsidRPr="004C4067">
      <w:rPr>
        <w:rFonts w:ascii="Book Antiqua" w:hAnsi="Book Antiqua"/>
        <w:bCs/>
        <w:color w:val="000000"/>
        <w:lang w:eastAsia="id-ID"/>
      </w:rPr>
      <w:t>Karakter</w:t>
    </w:r>
    <w:proofErr w:type="spellEnd"/>
    <w:r w:rsidRPr="004C4067">
      <w:rPr>
        <w:rFonts w:ascii="Book Antiqua" w:hAnsi="Book Antiqua"/>
        <w:bCs/>
        <w:color w:val="000000"/>
        <w:lang w:eastAsia="id-ID"/>
      </w:rPr>
      <w:t xml:space="preserve"> di Indonesia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38DFC" w14:textId="2ED9742D" w:rsidR="00011B61" w:rsidRPr="00616AE7" w:rsidRDefault="00011B61" w:rsidP="006B4CB6">
    <w:pPr>
      <w:pStyle w:val="Header"/>
      <w:tabs>
        <w:tab w:val="clear" w:pos="8640"/>
        <w:tab w:val="left" w:pos="7140"/>
        <w:tab w:val="right" w:pos="8460"/>
      </w:tabs>
      <w:ind w:right="45"/>
      <w:rPr>
        <w:rFonts w:ascii="Book Antiqua" w:hAnsi="Book Antiqua"/>
      </w:rPr>
    </w:pPr>
    <w:proofErr w:type="spellStart"/>
    <w:r w:rsidRPr="00033975">
      <w:rPr>
        <w:rFonts w:ascii="Book Antiqua" w:hAnsi="Book Antiqua"/>
        <w:b/>
      </w:rPr>
      <w:t>Andragogi</w:t>
    </w:r>
    <w:proofErr w:type="spellEnd"/>
    <w:r w:rsidRPr="00033975">
      <w:rPr>
        <w:rFonts w:ascii="Book Antiqua" w:hAnsi="Book Antiqua"/>
        <w:b/>
      </w:rPr>
      <w:t xml:space="preserve"> </w:t>
    </w:r>
    <w:proofErr w:type="spellStart"/>
    <w:r w:rsidRPr="00033975">
      <w:rPr>
        <w:rFonts w:ascii="Book Antiqua" w:hAnsi="Book Antiqua"/>
        <w:b/>
      </w:rPr>
      <w:t>Jurnal</w:t>
    </w:r>
    <w:proofErr w:type="spellEnd"/>
    <w:r w:rsidRPr="00033975">
      <w:rPr>
        <w:rFonts w:ascii="Book Antiqua" w:hAnsi="Book Antiqua"/>
        <w:b/>
      </w:rPr>
      <w:t xml:space="preserve"> Pendidikan dan </w:t>
    </w:r>
    <w:proofErr w:type="spellStart"/>
    <w:r w:rsidRPr="00033975">
      <w:rPr>
        <w:rFonts w:ascii="Book Antiqua" w:hAnsi="Book Antiqua"/>
        <w:b/>
      </w:rPr>
      <w:t>Pembelajaran</w:t>
    </w:r>
    <w:proofErr w:type="spellEnd"/>
    <w:r w:rsidRPr="00616AE7">
      <w:rPr>
        <w:rFonts w:ascii="Book Antiqua" w:hAnsi="Book Antiqua"/>
        <w:b/>
      </w:rPr>
      <w:t xml:space="preserve"> </w:t>
    </w:r>
    <w:r>
      <w:rPr>
        <w:rFonts w:ascii="Book Antiqua" w:hAnsi="Book Antiqua"/>
        <w:b/>
      </w:rPr>
      <w:tab/>
    </w:r>
    <w:r w:rsidR="006B4CB6">
      <w:rPr>
        <w:rFonts w:ascii="Book Antiqua" w:hAnsi="Book Antiqua"/>
        <w:b/>
      </w:rPr>
      <w:tab/>
    </w:r>
  </w:p>
  <w:p w14:paraId="02DAA097" w14:textId="34E1FD66" w:rsidR="00011B61" w:rsidRPr="00616AE7" w:rsidRDefault="00011B61" w:rsidP="00FD2025">
    <w:pPr>
      <w:pStyle w:val="Header"/>
      <w:tabs>
        <w:tab w:val="right" w:pos="8460"/>
      </w:tabs>
      <w:ind w:right="45"/>
      <w:rPr>
        <w:rFonts w:ascii="Book Antiqua" w:hAnsi="Book Antiqua"/>
      </w:rPr>
    </w:pPr>
    <w:r w:rsidRPr="00616AE7">
      <w:rPr>
        <w:rFonts w:ascii="Book Antiqua" w:hAnsi="Book Antiqua"/>
      </w:rPr>
      <w:t xml:space="preserve">Vol </w:t>
    </w:r>
    <w:r w:rsidR="00CE4D3A">
      <w:rPr>
        <w:rFonts w:ascii="Book Antiqua" w:hAnsi="Book Antiqua"/>
      </w:rPr>
      <w:t>6</w:t>
    </w:r>
    <w:r w:rsidRPr="00616AE7">
      <w:rPr>
        <w:rFonts w:ascii="Book Antiqua" w:hAnsi="Book Antiqua"/>
      </w:rPr>
      <w:t>, No.</w:t>
    </w:r>
    <w:r>
      <w:rPr>
        <w:rFonts w:ascii="Book Antiqua" w:hAnsi="Book Antiqua"/>
      </w:rPr>
      <w:t xml:space="preserve"> </w:t>
    </w:r>
    <w:r w:rsidR="00CE4D3A">
      <w:rPr>
        <w:rFonts w:ascii="Book Antiqua" w:hAnsi="Book Antiqua"/>
      </w:rPr>
      <w:t>1</w:t>
    </w:r>
    <w:r w:rsidRPr="00616AE7">
      <w:rPr>
        <w:rFonts w:ascii="Book Antiqua" w:hAnsi="Book Antiqua"/>
      </w:rPr>
      <w:t xml:space="preserve">, </w:t>
    </w:r>
    <w:r w:rsidR="00CE4D3A">
      <w:rPr>
        <w:rFonts w:ascii="Book Antiqua" w:hAnsi="Book Antiqua"/>
      </w:rPr>
      <w:t xml:space="preserve">Maret </w:t>
    </w:r>
    <w:r w:rsidRPr="00616AE7">
      <w:rPr>
        <w:rFonts w:ascii="Book Antiqua" w:hAnsi="Book Antiqua"/>
      </w:rPr>
      <w:t>202</w:t>
    </w:r>
    <w:r w:rsidR="00CE4D3A">
      <w:rPr>
        <w:rFonts w:ascii="Book Antiqua" w:hAnsi="Book Antiqua"/>
      </w:rPr>
      <w:t>6</w:t>
    </w:r>
    <w:r w:rsidRPr="00616AE7">
      <w:rPr>
        <w:rFonts w:ascii="Book Antiqua" w:hAnsi="Book Antiqua"/>
      </w:rPr>
      <w:t xml:space="preserve">, DOI: </w:t>
    </w:r>
    <w:hyperlink r:id="rId1" w:history="1">
      <w:r w:rsidR="00B73169" w:rsidRPr="001F21FB">
        <w:rPr>
          <w:rStyle w:val="Hyperlink"/>
          <w:rFonts w:ascii="Book Antiqua" w:hAnsi="Book Antiqua"/>
        </w:rPr>
        <w:t>https://doi.org/10.31538/adrg.v6i1.2881</w:t>
      </w:r>
    </w:hyperlink>
    <w:r w:rsidR="00B73169">
      <w:rPr>
        <w:rFonts w:ascii="Book Antiqua" w:hAnsi="Book Antiqua"/>
      </w:rPr>
      <w:t xml:space="preserve"> </w:t>
    </w:r>
  </w:p>
  <w:p w14:paraId="184F827F" w14:textId="02718557" w:rsidR="00011B61" w:rsidRPr="00A13B45" w:rsidRDefault="00011B61" w:rsidP="00FD2025">
    <w:pPr>
      <w:pStyle w:val="Header"/>
      <w:tabs>
        <w:tab w:val="right" w:pos="8460"/>
      </w:tabs>
      <w:ind w:right="45"/>
      <w:rPr>
        <w:rFonts w:ascii="Book Antiqua" w:hAnsi="Book Antiqua"/>
      </w:rPr>
    </w:pPr>
    <w:r w:rsidRPr="00616AE7">
      <w:rPr>
        <w:rFonts w:ascii="Book Antiqua" w:hAnsi="Book Antiqua"/>
        <w:iCs/>
      </w:rPr>
      <w:t xml:space="preserve">E-ISSN </w:t>
    </w:r>
    <w:r w:rsidRPr="00033975">
      <w:rPr>
        <w:rFonts w:ascii="Book Antiqua" w:hAnsi="Book Antiqua"/>
        <w:iCs/>
      </w:rPr>
      <w:t>2807-8233</w:t>
    </w:r>
    <w:r w:rsidRPr="00616AE7">
      <w:rPr>
        <w:rFonts w:ascii="Book Antiqua" w:hAnsi="Book Antiqua"/>
        <w:iCs/>
      </w:rPr>
      <w:t xml:space="preserve">   pp. </w:t>
    </w:r>
    <w:r w:rsidR="00633E87">
      <w:rPr>
        <w:rFonts w:ascii="Book Antiqua" w:hAnsi="Book Antiqua"/>
        <w:iCs/>
      </w:rPr>
      <w:t>228</w:t>
    </w:r>
    <w:r>
      <w:rPr>
        <w:rFonts w:ascii="Book Antiqua" w:hAnsi="Book Antiqua"/>
        <w:iCs/>
      </w:rPr>
      <w:t>-</w:t>
    </w:r>
    <w:r w:rsidR="00633E87">
      <w:rPr>
        <w:rFonts w:ascii="Book Antiqua" w:hAnsi="Book Antiqua"/>
        <w:iCs/>
      </w:rPr>
      <w:t>237</w:t>
    </w:r>
  </w:p>
  <w:p w14:paraId="4CF78D04" w14:textId="7090B56D" w:rsidR="00011B61" w:rsidRPr="00FD2025" w:rsidRDefault="00011B61" w:rsidP="00FD202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460"/>
      </w:tabs>
      <w:ind w:right="45"/>
      <w:rPr>
        <w:rFonts w:ascii="Book Antiqua" w:eastAsia="Book Antiqua" w:hAnsi="Book Antiqua" w:cs="Book Antiqua"/>
        <w:color w:val="000000"/>
      </w:rPr>
    </w:pPr>
    <w:r>
      <w:rPr>
        <w:color w:val="00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7F3"/>
    <w:multiLevelType w:val="hybridMultilevel"/>
    <w:tmpl w:val="806C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37B2F"/>
    <w:multiLevelType w:val="hybridMultilevel"/>
    <w:tmpl w:val="5AA4A08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93AD9"/>
    <w:multiLevelType w:val="multilevel"/>
    <w:tmpl w:val="C6D8D2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77CBA"/>
    <w:multiLevelType w:val="hybridMultilevel"/>
    <w:tmpl w:val="8ABCD1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55952"/>
    <w:multiLevelType w:val="hybridMultilevel"/>
    <w:tmpl w:val="7004ADF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385F46"/>
    <w:multiLevelType w:val="multilevel"/>
    <w:tmpl w:val="9ED04338"/>
    <w:lvl w:ilvl="0">
      <w:start w:val="1"/>
      <w:numFmt w:val="lowerLett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A084DC2"/>
    <w:multiLevelType w:val="hybridMultilevel"/>
    <w:tmpl w:val="B992C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E5A94"/>
    <w:multiLevelType w:val="hybridMultilevel"/>
    <w:tmpl w:val="A9024D6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251DBF"/>
    <w:multiLevelType w:val="hybridMultilevel"/>
    <w:tmpl w:val="CE8A2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B681A"/>
    <w:multiLevelType w:val="hybridMultilevel"/>
    <w:tmpl w:val="B6929FB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80BB9"/>
    <w:multiLevelType w:val="hybridMultilevel"/>
    <w:tmpl w:val="DC289C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973921"/>
    <w:multiLevelType w:val="hybridMultilevel"/>
    <w:tmpl w:val="D0CA5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023329">
    <w:abstractNumId w:val="2"/>
  </w:num>
  <w:num w:numId="2" w16cid:durableId="323246799">
    <w:abstractNumId w:val="5"/>
  </w:num>
  <w:num w:numId="3" w16cid:durableId="463540960">
    <w:abstractNumId w:val="8"/>
  </w:num>
  <w:num w:numId="4" w16cid:durableId="462693229">
    <w:abstractNumId w:val="10"/>
  </w:num>
  <w:num w:numId="5" w16cid:durableId="1685086472">
    <w:abstractNumId w:val="1"/>
  </w:num>
  <w:num w:numId="6" w16cid:durableId="2032761327">
    <w:abstractNumId w:val="7"/>
  </w:num>
  <w:num w:numId="7" w16cid:durableId="2108109463">
    <w:abstractNumId w:val="4"/>
  </w:num>
  <w:num w:numId="8" w16cid:durableId="1412002879">
    <w:abstractNumId w:val="9"/>
  </w:num>
  <w:num w:numId="9" w16cid:durableId="630675859">
    <w:abstractNumId w:val="11"/>
  </w:num>
  <w:num w:numId="10" w16cid:durableId="859007751">
    <w:abstractNumId w:val="0"/>
  </w:num>
  <w:num w:numId="11" w16cid:durableId="1676417822">
    <w:abstractNumId w:val="6"/>
  </w:num>
  <w:num w:numId="12" w16cid:durableId="1785802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hideSpellingErrors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A9"/>
    <w:rsid w:val="00011B61"/>
    <w:rsid w:val="00033975"/>
    <w:rsid w:val="00060DBC"/>
    <w:rsid w:val="00097AAE"/>
    <w:rsid w:val="000A3679"/>
    <w:rsid w:val="000B2DEB"/>
    <w:rsid w:val="000C19C5"/>
    <w:rsid w:val="000C63D6"/>
    <w:rsid w:val="000E22D6"/>
    <w:rsid w:val="000F2A41"/>
    <w:rsid w:val="0010610F"/>
    <w:rsid w:val="00117E96"/>
    <w:rsid w:val="001351C5"/>
    <w:rsid w:val="0015108A"/>
    <w:rsid w:val="00174F06"/>
    <w:rsid w:val="00183AA6"/>
    <w:rsid w:val="001935EB"/>
    <w:rsid w:val="001C5D54"/>
    <w:rsid w:val="001F2542"/>
    <w:rsid w:val="002118D7"/>
    <w:rsid w:val="00213469"/>
    <w:rsid w:val="002250C0"/>
    <w:rsid w:val="00243D3B"/>
    <w:rsid w:val="00262BFB"/>
    <w:rsid w:val="00275169"/>
    <w:rsid w:val="00281BDD"/>
    <w:rsid w:val="002A0853"/>
    <w:rsid w:val="002A5468"/>
    <w:rsid w:val="002B0596"/>
    <w:rsid w:val="002E5570"/>
    <w:rsid w:val="00301919"/>
    <w:rsid w:val="0031098B"/>
    <w:rsid w:val="00372DC6"/>
    <w:rsid w:val="00375CCF"/>
    <w:rsid w:val="00390198"/>
    <w:rsid w:val="00393C4D"/>
    <w:rsid w:val="003B27EA"/>
    <w:rsid w:val="003C4A9F"/>
    <w:rsid w:val="003D7A0A"/>
    <w:rsid w:val="003E005E"/>
    <w:rsid w:val="003E284E"/>
    <w:rsid w:val="003E388D"/>
    <w:rsid w:val="003E7BF6"/>
    <w:rsid w:val="003F0E82"/>
    <w:rsid w:val="003F7660"/>
    <w:rsid w:val="004008D0"/>
    <w:rsid w:val="00400A8B"/>
    <w:rsid w:val="004225D1"/>
    <w:rsid w:val="004349BE"/>
    <w:rsid w:val="0044575F"/>
    <w:rsid w:val="0044756D"/>
    <w:rsid w:val="004736A5"/>
    <w:rsid w:val="00486FA9"/>
    <w:rsid w:val="004A594A"/>
    <w:rsid w:val="004C116C"/>
    <w:rsid w:val="004C4067"/>
    <w:rsid w:val="004C796E"/>
    <w:rsid w:val="004F62FF"/>
    <w:rsid w:val="00506058"/>
    <w:rsid w:val="00510EB5"/>
    <w:rsid w:val="005379D4"/>
    <w:rsid w:val="00555136"/>
    <w:rsid w:val="005714B3"/>
    <w:rsid w:val="0058001D"/>
    <w:rsid w:val="00582B4A"/>
    <w:rsid w:val="005F559A"/>
    <w:rsid w:val="005F67F2"/>
    <w:rsid w:val="006002CB"/>
    <w:rsid w:val="00622E3D"/>
    <w:rsid w:val="00633E87"/>
    <w:rsid w:val="006371E7"/>
    <w:rsid w:val="0063750E"/>
    <w:rsid w:val="00667C8E"/>
    <w:rsid w:val="006763F6"/>
    <w:rsid w:val="00684795"/>
    <w:rsid w:val="006A4BEF"/>
    <w:rsid w:val="006A7A60"/>
    <w:rsid w:val="006B4CB6"/>
    <w:rsid w:val="006C1F42"/>
    <w:rsid w:val="006C3537"/>
    <w:rsid w:val="006D0B72"/>
    <w:rsid w:val="006F3364"/>
    <w:rsid w:val="00711F53"/>
    <w:rsid w:val="007235F6"/>
    <w:rsid w:val="00736541"/>
    <w:rsid w:val="00740305"/>
    <w:rsid w:val="0075150E"/>
    <w:rsid w:val="00756DBE"/>
    <w:rsid w:val="007648A4"/>
    <w:rsid w:val="00781B3C"/>
    <w:rsid w:val="0079772D"/>
    <w:rsid w:val="007B02CB"/>
    <w:rsid w:val="007B0C4A"/>
    <w:rsid w:val="007C122B"/>
    <w:rsid w:val="007D1750"/>
    <w:rsid w:val="007E5003"/>
    <w:rsid w:val="0081025F"/>
    <w:rsid w:val="00817B4D"/>
    <w:rsid w:val="00863598"/>
    <w:rsid w:val="008A76A7"/>
    <w:rsid w:val="008C2F6E"/>
    <w:rsid w:val="008F4C8E"/>
    <w:rsid w:val="008F6D46"/>
    <w:rsid w:val="00936822"/>
    <w:rsid w:val="009371F8"/>
    <w:rsid w:val="009461B3"/>
    <w:rsid w:val="00962646"/>
    <w:rsid w:val="009721F8"/>
    <w:rsid w:val="009A5045"/>
    <w:rsid w:val="009D598A"/>
    <w:rsid w:val="009E1ED7"/>
    <w:rsid w:val="009E3EEB"/>
    <w:rsid w:val="00A03B6F"/>
    <w:rsid w:val="00A07E6B"/>
    <w:rsid w:val="00A151DC"/>
    <w:rsid w:val="00A16D14"/>
    <w:rsid w:val="00A17F72"/>
    <w:rsid w:val="00A552D1"/>
    <w:rsid w:val="00A574E7"/>
    <w:rsid w:val="00A8161C"/>
    <w:rsid w:val="00AB196D"/>
    <w:rsid w:val="00AB2465"/>
    <w:rsid w:val="00AC43B0"/>
    <w:rsid w:val="00AE44AC"/>
    <w:rsid w:val="00AF4BBC"/>
    <w:rsid w:val="00B01ADC"/>
    <w:rsid w:val="00B162BD"/>
    <w:rsid w:val="00B400D4"/>
    <w:rsid w:val="00B66CD6"/>
    <w:rsid w:val="00B73169"/>
    <w:rsid w:val="00B82B6B"/>
    <w:rsid w:val="00B82BEC"/>
    <w:rsid w:val="00BC1B51"/>
    <w:rsid w:val="00BC39CF"/>
    <w:rsid w:val="00BD0665"/>
    <w:rsid w:val="00C030A3"/>
    <w:rsid w:val="00C2656E"/>
    <w:rsid w:val="00C3353E"/>
    <w:rsid w:val="00C33F77"/>
    <w:rsid w:val="00C36179"/>
    <w:rsid w:val="00C46A6B"/>
    <w:rsid w:val="00C544DE"/>
    <w:rsid w:val="00C5527F"/>
    <w:rsid w:val="00C572CF"/>
    <w:rsid w:val="00C57FDE"/>
    <w:rsid w:val="00C649B8"/>
    <w:rsid w:val="00C75C25"/>
    <w:rsid w:val="00C76503"/>
    <w:rsid w:val="00C86D8E"/>
    <w:rsid w:val="00CC6A8F"/>
    <w:rsid w:val="00CE4D3A"/>
    <w:rsid w:val="00CF7B83"/>
    <w:rsid w:val="00D02E24"/>
    <w:rsid w:val="00D034CC"/>
    <w:rsid w:val="00D41817"/>
    <w:rsid w:val="00D52982"/>
    <w:rsid w:val="00D67AF4"/>
    <w:rsid w:val="00D77279"/>
    <w:rsid w:val="00D82583"/>
    <w:rsid w:val="00D84F08"/>
    <w:rsid w:val="00D908D4"/>
    <w:rsid w:val="00D948CB"/>
    <w:rsid w:val="00DC5965"/>
    <w:rsid w:val="00DE1282"/>
    <w:rsid w:val="00E00722"/>
    <w:rsid w:val="00E011BC"/>
    <w:rsid w:val="00E02B56"/>
    <w:rsid w:val="00E54FEC"/>
    <w:rsid w:val="00E707B7"/>
    <w:rsid w:val="00EB0153"/>
    <w:rsid w:val="00EE0E38"/>
    <w:rsid w:val="00F16731"/>
    <w:rsid w:val="00F37997"/>
    <w:rsid w:val="00F440A9"/>
    <w:rsid w:val="00F47B8F"/>
    <w:rsid w:val="00F67B14"/>
    <w:rsid w:val="00F76BAA"/>
    <w:rsid w:val="00F76D33"/>
    <w:rsid w:val="00F84B0B"/>
    <w:rsid w:val="00F90351"/>
    <w:rsid w:val="00F94A1D"/>
    <w:rsid w:val="00FA1B75"/>
    <w:rsid w:val="00FC1C35"/>
    <w:rsid w:val="00FC75CB"/>
    <w:rsid w:val="00FD2025"/>
    <w:rsid w:val="00FD7AE3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506920"/>
  <w15:docId w15:val="{E2BFE30A-69F5-4665-86CA-BB2450792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3B6"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8873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link w:val="JudulKAR"/>
    <w:uiPriority w:val="10"/>
    <w:qFormat/>
    <w:rsid w:val="008873B6"/>
    <w:pPr>
      <w:jc w:val="center"/>
    </w:pPr>
    <w:rPr>
      <w:b/>
      <w:bCs/>
      <w:sz w:val="28"/>
      <w:szCs w:val="24"/>
      <w:lang w:val="id-ID"/>
    </w:rPr>
  </w:style>
  <w:style w:type="character" w:customStyle="1" w:styleId="Judul2KAR">
    <w:name w:val="Judul 2 KAR"/>
    <w:basedOn w:val="FontParagrafDefault"/>
    <w:link w:val="Judul2"/>
    <w:rsid w:val="008873B6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styleId="Hyperlink">
    <w:name w:val="Hyperlink"/>
    <w:uiPriority w:val="99"/>
    <w:rsid w:val="008873B6"/>
    <w:rPr>
      <w:color w:val="0000FF"/>
      <w:u w:val="single"/>
    </w:rPr>
  </w:style>
  <w:style w:type="paragraph" w:styleId="Header">
    <w:name w:val="header"/>
    <w:basedOn w:val="Normal"/>
    <w:link w:val="HeaderKAR"/>
    <w:rsid w:val="008873B6"/>
    <w:pPr>
      <w:tabs>
        <w:tab w:val="center" w:pos="4320"/>
        <w:tab w:val="right" w:pos="8640"/>
      </w:tabs>
    </w:pPr>
  </w:style>
  <w:style w:type="character" w:customStyle="1" w:styleId="HeaderKAR">
    <w:name w:val="Header KAR"/>
    <w:basedOn w:val="FontParagrafDefault"/>
    <w:link w:val="Header"/>
    <w:rsid w:val="008873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KAR"/>
    <w:uiPriority w:val="99"/>
    <w:rsid w:val="008873B6"/>
    <w:pPr>
      <w:tabs>
        <w:tab w:val="center" w:pos="4320"/>
        <w:tab w:val="right" w:pos="8640"/>
      </w:tabs>
    </w:pPr>
  </w:style>
  <w:style w:type="character" w:customStyle="1" w:styleId="FooterKAR">
    <w:name w:val="Footer KAR"/>
    <w:basedOn w:val="FontParagrafDefault"/>
    <w:link w:val="Footer"/>
    <w:uiPriority w:val="99"/>
    <w:rsid w:val="008873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ksIsi">
    <w:name w:val="Body Text"/>
    <w:basedOn w:val="Normal"/>
    <w:link w:val="TeksIsiKAR"/>
    <w:rsid w:val="008873B6"/>
    <w:pPr>
      <w:spacing w:after="120"/>
    </w:pPr>
    <w:rPr>
      <w:lang w:val="id-ID" w:eastAsia="id-ID"/>
    </w:rPr>
  </w:style>
  <w:style w:type="character" w:customStyle="1" w:styleId="TeksIsiKAR">
    <w:name w:val="Teks Isi KAR"/>
    <w:basedOn w:val="FontParagrafDefault"/>
    <w:link w:val="TeksIsi"/>
    <w:rsid w:val="008873B6"/>
    <w:rPr>
      <w:rFonts w:ascii="Times New Roman" w:eastAsia="Times New Roman" w:hAnsi="Times New Roman" w:cs="Times New Roman"/>
      <w:sz w:val="20"/>
      <w:szCs w:val="20"/>
      <w:lang w:eastAsia="id-ID"/>
    </w:rPr>
  </w:style>
  <w:style w:type="character" w:customStyle="1" w:styleId="JudulKAR">
    <w:name w:val="Judul KAR"/>
    <w:basedOn w:val="FontParagrafDefault"/>
    <w:link w:val="Judul"/>
    <w:rsid w:val="008873B6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Text">
    <w:name w:val="Text"/>
    <w:basedOn w:val="Normal"/>
    <w:rsid w:val="008873B6"/>
    <w:pPr>
      <w:widowControl w:val="0"/>
      <w:autoSpaceDE w:val="0"/>
      <w:autoSpaceDN w:val="0"/>
      <w:spacing w:line="252" w:lineRule="auto"/>
      <w:ind w:firstLine="202"/>
      <w:jc w:val="both"/>
    </w:pPr>
    <w:rPr>
      <w:rFonts w:eastAsia="Batang"/>
      <w:lang w:eastAsia="ko-KR"/>
    </w:rPr>
  </w:style>
  <w:style w:type="character" w:customStyle="1" w:styleId="longtext">
    <w:name w:val="long_text"/>
    <w:basedOn w:val="FontParagrafDefault"/>
    <w:rsid w:val="008873B6"/>
  </w:style>
  <w:style w:type="character" w:customStyle="1" w:styleId="apple-converted-space">
    <w:name w:val="apple-converted-space"/>
    <w:basedOn w:val="FontParagrafDefault"/>
    <w:rsid w:val="008873B6"/>
  </w:style>
  <w:style w:type="character" w:customStyle="1" w:styleId="hps">
    <w:name w:val="hps"/>
    <w:basedOn w:val="FontParagrafDefault"/>
    <w:rsid w:val="008873B6"/>
  </w:style>
  <w:style w:type="character" w:customStyle="1" w:styleId="InternetLink">
    <w:name w:val="Internet Link"/>
    <w:uiPriority w:val="99"/>
    <w:unhideWhenUsed/>
    <w:rsid w:val="008873B6"/>
    <w:rPr>
      <w:color w:val="0563C1"/>
      <w:u w:val="single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8873B6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8873B6"/>
    <w:rPr>
      <w:rFonts w:ascii="Tahoma" w:eastAsia="Times New Roman" w:hAnsi="Tahoma" w:cs="Tahoma"/>
      <w:sz w:val="16"/>
      <w:szCs w:val="16"/>
      <w:lang w:val="en-US"/>
    </w:rPr>
  </w:style>
  <w:style w:type="table" w:styleId="KisiTabel">
    <w:name w:val="Table Grid"/>
    <w:basedOn w:val="TabelNormal"/>
    <w:uiPriority w:val="59"/>
    <w:rsid w:val="00471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yanganTipis">
    <w:name w:val="Light Shading"/>
    <w:basedOn w:val="TabelNormal"/>
    <w:uiPriority w:val="60"/>
    <w:rsid w:val="0047124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ibliografi">
    <w:name w:val="Bibliography"/>
    <w:basedOn w:val="Normal"/>
    <w:next w:val="Normal"/>
    <w:uiPriority w:val="37"/>
    <w:unhideWhenUsed/>
    <w:rsid w:val="00D74813"/>
    <w:pPr>
      <w:spacing w:line="480" w:lineRule="auto"/>
      <w:ind w:left="720" w:hanging="720"/>
    </w:pPr>
  </w:style>
  <w:style w:type="character" w:customStyle="1" w:styleId="UnresolvedMention1">
    <w:name w:val="Unresolved Mention1"/>
    <w:basedOn w:val="FontParagrafDefault"/>
    <w:uiPriority w:val="99"/>
    <w:semiHidden/>
    <w:unhideWhenUsed/>
    <w:rsid w:val="006B4E30"/>
    <w:rPr>
      <w:color w:val="605E5C"/>
      <w:shd w:val="clear" w:color="auto" w:fill="E1DFDD"/>
    </w:rPr>
  </w:style>
  <w:style w:type="paragraph" w:styleId="TeksCatatanKaki">
    <w:name w:val="footnote text"/>
    <w:basedOn w:val="Normal"/>
    <w:link w:val="TeksCatatanKakiKAR"/>
    <w:uiPriority w:val="99"/>
    <w:semiHidden/>
    <w:unhideWhenUsed/>
    <w:rsid w:val="00C4351A"/>
  </w:style>
  <w:style w:type="character" w:customStyle="1" w:styleId="TeksCatatanKakiKAR">
    <w:name w:val="Teks Catatan Kaki KAR"/>
    <w:basedOn w:val="FontParagrafDefault"/>
    <w:link w:val="TeksCatatanKaki"/>
    <w:uiPriority w:val="99"/>
    <w:semiHidden/>
    <w:rsid w:val="00C4351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siCatatanKaki">
    <w:name w:val="footnote reference"/>
    <w:basedOn w:val="FontParagrafDefault"/>
    <w:uiPriority w:val="99"/>
    <w:semiHidden/>
    <w:unhideWhenUsed/>
    <w:rsid w:val="00C4351A"/>
    <w:rPr>
      <w:vertAlign w:val="superscript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rPr>
      <w:color w:val="000000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a0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el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lishlah13authornames">
    <w:name w:val="Alishlah_1.3_authornames"/>
    <w:basedOn w:val="Normal"/>
    <w:next w:val="Normal"/>
    <w:qFormat/>
    <w:rsid w:val="00C030A3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Cs w:val="22"/>
      <w:lang w:eastAsia="de-DE" w:bidi="en-US"/>
    </w:rPr>
  </w:style>
  <w:style w:type="paragraph" w:customStyle="1" w:styleId="Alishlah16affiliation">
    <w:name w:val="Alishlah_1.6_affiliation"/>
    <w:basedOn w:val="Normal"/>
    <w:qFormat/>
    <w:rsid w:val="00C030A3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styleId="DaftarParagraf">
    <w:name w:val="List Paragraph"/>
    <w:basedOn w:val="Normal"/>
    <w:uiPriority w:val="34"/>
    <w:qFormat/>
    <w:rsid w:val="00B66CD6"/>
    <w:pPr>
      <w:ind w:left="720"/>
      <w:contextualSpacing/>
    </w:pPr>
  </w:style>
  <w:style w:type="character" w:styleId="ReferensiKomentar">
    <w:name w:val="annotation reference"/>
    <w:basedOn w:val="FontParagrafDefault"/>
    <w:uiPriority w:val="99"/>
    <w:semiHidden/>
    <w:unhideWhenUsed/>
    <w:rsid w:val="004736A5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semiHidden/>
    <w:unhideWhenUsed/>
    <w:rsid w:val="004736A5"/>
  </w:style>
  <w:style w:type="character" w:customStyle="1" w:styleId="TeksKomentarKAR">
    <w:name w:val="Teks Komentar KAR"/>
    <w:basedOn w:val="FontParagrafDefault"/>
    <w:link w:val="TeksKomentar"/>
    <w:uiPriority w:val="99"/>
    <w:semiHidden/>
    <w:rsid w:val="004736A5"/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4736A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4736A5"/>
    <w:rPr>
      <w:b/>
      <w:bCs/>
    </w:rPr>
  </w:style>
  <w:style w:type="character" w:styleId="Penekanan">
    <w:name w:val="Emphasis"/>
    <w:basedOn w:val="FontParagrafDefault"/>
    <w:uiPriority w:val="20"/>
    <w:qFormat/>
    <w:rsid w:val="00D84F08"/>
    <w:rPr>
      <w:i/>
      <w:iCs/>
    </w:rPr>
  </w:style>
  <w:style w:type="character" w:styleId="Kuat">
    <w:name w:val="Strong"/>
    <w:basedOn w:val="FontParagrafDefault"/>
    <w:uiPriority w:val="22"/>
    <w:qFormat/>
    <w:rsid w:val="00962646"/>
    <w:rPr>
      <w:b/>
      <w:bCs/>
    </w:rPr>
  </w:style>
  <w:style w:type="character" w:customStyle="1" w:styleId="15">
    <w:name w:val="15"/>
    <w:basedOn w:val="FontParagrafDefault"/>
    <w:rsid w:val="00C76503"/>
    <w:rPr>
      <w:rFonts w:ascii="Times New Roman" w:hAnsi="Times New Roman" w:cs="Times New Roman" w:hint="default"/>
      <w:color w:val="0000FF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F76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izainab4598@gmail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itizainab4598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irulhudaya05@gmail.com" TargetMode="Externa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pasca.jurnalikhac.ac.id/index.php/adrg/inde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1538/adrg.v6i1.2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ce7672yHX4AsvsZxQcONdO3zHw==">AMUW2mWXr33Xt2haFp3CS+zuU3YiWfO4a6JsG2UdWcXiFsgASyXMJ0CLlAf60rVUq7EgpqKkx3tPYQVpWFtOwYsjK3XoKHdNIAliolkOuNKadTDWts4HqnQ=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11</Pages>
  <Words>4532</Words>
  <Characters>25837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no name</cp:lastModifiedBy>
  <cp:revision>10</cp:revision>
  <cp:lastPrinted>2026-02-15T23:42:00Z</cp:lastPrinted>
  <dcterms:created xsi:type="dcterms:W3CDTF">2026-06-23T14:42:00Z</dcterms:created>
  <dcterms:modified xsi:type="dcterms:W3CDTF">2026-06-30T02:07:00Z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zotero-version="6.0.4"&gt;&lt;session id="cTe1ahzK"/&gt;&lt;style id="http://www.zotero.org/styles/apa-6th-edition" locale="en-GB" hasBibliography="1" bibliographyStyleHasBeenSet="1"/&gt;&lt;prefs&gt;&lt;pref name="fieldType" value="Field"/&gt;&lt;/prefs&gt;&lt;/data&gt;</vt:lpwstr>
  </property>
  <property fmtid="{D5CDD505-2E9C-101B-9397-08002B2CF9AE}" pid="3" name="GrammarlyDocumentId">
    <vt:lpwstr>ee822c27529a2c144d7d4e0b152130934f6817225f719fa710558fc437376e7e</vt:lpwstr>
  </property>
</Properties>
</file>